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tLeast"/>
        <w:ind w:firstLine="482"/>
        <w:jc w:val="center"/>
        <w:rPr>
          <w:rFonts w:ascii="方正小标宋简体" w:hAns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未央区张家堡街道办事处</w:t>
      </w:r>
    </w:p>
    <w:p>
      <w:pPr>
        <w:widowControl/>
        <w:snapToGrid w:val="0"/>
        <w:spacing w:line="480" w:lineRule="atLeast"/>
        <w:ind w:firstLine="482"/>
        <w:jc w:val="center"/>
        <w:rPr>
          <w:rFonts w:ascii="方正小标宋简体" w:hAns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2018年部门综合预算说明</w:t>
      </w:r>
    </w:p>
    <w:p>
      <w:pPr>
        <w:widowControl/>
        <w:snapToGrid w:val="0"/>
        <w:spacing w:line="480" w:lineRule="atLeast"/>
        <w:ind w:firstLine="482"/>
        <w:jc w:val="center"/>
        <w:rPr>
          <w:rFonts w:ascii="方正小标宋简体" w:hAnsi="方正小标宋简体" w:eastAsia="方正小标宋简体" w:cs="宋体"/>
          <w:kern w:val="0"/>
          <w:sz w:val="44"/>
          <w:szCs w:val="44"/>
        </w:rPr>
      </w:pPr>
    </w:p>
    <w:p>
      <w:pPr>
        <w:spacing w:line="560" w:lineRule="exact"/>
        <w:ind w:firstLine="645"/>
        <w:rPr>
          <w:rFonts w:ascii="黑体" w:hAnsi="黑体" w:eastAsia="黑体" w:cs="宋体"/>
          <w:kern w:val="0"/>
          <w:szCs w:val="32"/>
        </w:rPr>
      </w:pPr>
      <w:r>
        <w:rPr>
          <w:rFonts w:hint="eastAsia" w:ascii="黑体" w:hAnsi="黑体" w:eastAsia="黑体" w:cs="宋体"/>
          <w:kern w:val="0"/>
          <w:szCs w:val="32"/>
        </w:rPr>
        <w:t>一、部门主要职责</w:t>
      </w:r>
      <w:r>
        <w:rPr>
          <w:rFonts w:hint="eastAsia" w:ascii="黑体" w:hAnsi="黑体" w:eastAsia="黑体" w:cs="宋体"/>
          <w:kern w:val="0"/>
          <w:szCs w:val="32"/>
          <w:lang w:eastAsia="zh-CN"/>
        </w:rPr>
        <w:t>及机构设置情况</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（一）街道党工委的主要职责</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街道党工委作为区委的派出机构,在街道各种组织和各项工作中处于领导核心地位,发挥领导核心作用,其主要职责如下：</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1.宣传贯彻党的路线、方针、政策和国家法律法规,执行上级党组织的决议、决定,团结、组织党员和群众,保证党和政府各项任务在辖区顺利完成。</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2.讨论决定辖区经济建设、城市管理、社区建设和公共服务社会治安综合治理等方面的重大问题。</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3.按照干部管理权限,做好街道、社区干部的教育、培养、选拔、考核和监督等工作,对区级部门在街道的派出机构的领导干部,实行以派出单位管理为主、街道党工委管理为辅的双重管理制度。</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4.在开展涉及地区性、社会性、群众性、公益性工作时,对辖区机关、企事业单位党组织进行组织、指导和协调。</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5.领导街道办事处和群团、社区、村委会等组织,支持和保证行政单位、经济组织和群众自治组织依照法律和各自章程充分行使职权,协调好各方面的关系。</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6.抓好社区和辖区无主管上级的非公有制经济组织、社会团体、中介组织的党建工作。</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7.抓好本街道思想政治工作、党风廉政建设、民主法制建设和精神文明建设。</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8.加强街道党工委自身建设,抓好街道、社区、农村党员的教育、管理和党员发展工作。</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9.承办区委交办的其他事项。</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（二）街道办事处的主要职责</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根据国家有关规定和区人民政府有关部门委托,结合我区实际,街道办事处在辖区履行下列职责：</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1.宣传贯彻落实党和政府的各项方针、政策,根据国家的政策、法令和上级政府的决定,制定辖区内实施的具体方案,并组织实施。</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2.负责辖区综合事务管理，行使组织领导、综合协调、监督检查等行政管理职责，协调与驻地各有关方面的社会事务。</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3.制定辖区经济发展规划,为招商引资、产业结构调整提供良好服务,推动辖区经济发展,做好综合统计工作。</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4.负责辖区民政、统战、国防动员和人武等工作,组织开展社会救助、拥军优属、防震减灾、抢险救灾等工作,做好社会保障、就业培训、人防等工作。</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5.组织开展社区建设,繁荣社区文化,发展社区教育、体育卫生等事业,配合做好重大疫情疫病的防控工作。</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6.加强指导社区、村委会等城乡群众自治组织建设;协调处理物业管理服务纠纷,引导社会力量共建和谐社区。</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7.做好辖区安全生产、燃气安全等工作;配合做好劳动监察工作。</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8.负责辖区群众来信来访事项,做好矛盾纠纷调处工作;加强普法宣传,维护地区稳定,负责辖区社区矫正和社会治安综合治理等工作。</w:t>
      </w:r>
    </w:p>
    <w:p>
      <w:pPr>
        <w:widowControl/>
        <w:spacing w:line="560" w:lineRule="atLeast"/>
        <w:ind w:firstLine="636" w:firstLineChars="199"/>
        <w:jc w:val="left"/>
        <w:rPr>
          <w:rFonts w:ascii="仿宋_GB2312" w:hAnsi="仿宋_GB2312" w:eastAsia="仿宋_GB2312" w:cs="宋体"/>
          <w:kern w:val="0"/>
          <w:szCs w:val="32"/>
        </w:rPr>
      </w:pPr>
      <w:r>
        <w:rPr>
          <w:rFonts w:hint="eastAsia" w:ascii="仿宋_GB2312" w:hAnsi="仿宋_GB2312" w:eastAsia="仿宋_GB2312" w:cs="宋体"/>
          <w:kern w:val="0"/>
          <w:szCs w:val="32"/>
        </w:rPr>
        <w:t>9.做好辖区城市管理相关工作,负责辖区市容环卫工作,维护市政基础设施;贯彻落实有关环境保护法律法规和方针政策以及治污减霾工作相关规定,拟订辖区治污减霾网格化管理工</w:t>
      </w:r>
      <w:r>
        <w:rPr>
          <w:rFonts w:ascii="仿宋_GB2312" w:hAnsi="仿宋_GB2312" w:eastAsia="仿宋_GB2312" w:cs="宋体"/>
          <w:kern w:val="0"/>
          <w:szCs w:val="32"/>
        </w:rPr>
        <w:t>作计划,并组织实施</w:t>
      </w:r>
      <w:r>
        <w:rPr>
          <w:rFonts w:hint="eastAsia" w:ascii="仿宋_GB2312" w:hAnsi="仿宋_GB2312" w:eastAsia="仿宋_GB2312" w:cs="宋体"/>
          <w:kern w:val="0"/>
          <w:szCs w:val="32"/>
        </w:rPr>
        <w:t>。</w:t>
      </w:r>
    </w:p>
    <w:p>
      <w:pPr>
        <w:widowControl/>
        <w:spacing w:line="560" w:lineRule="atLeast"/>
        <w:ind w:firstLine="636" w:firstLineChars="199"/>
        <w:jc w:val="left"/>
        <w:rPr>
          <w:rFonts w:ascii="仿宋_GB2312" w:hAnsi="仿宋_GB2312" w:eastAsia="仿宋_GB2312" w:cs="宋体"/>
          <w:kern w:val="0"/>
          <w:szCs w:val="32"/>
        </w:rPr>
      </w:pPr>
      <w:r>
        <w:rPr>
          <w:rFonts w:ascii="仿宋_GB2312" w:hAnsi="仿宋_GB2312" w:eastAsia="仿宋_GB2312" w:cs="宋体"/>
          <w:kern w:val="0"/>
          <w:szCs w:val="32"/>
        </w:rPr>
        <w:t>10.做好农、林、水务、交通、建设等相关工作;负责辖区城中村(棚户区)改造、统筹筹城乡发展、新农村建设等相关工作;承担农村集体资产监督管理工作,加强城改股份制经济组织监管;配合保障市政建设和重点项目建设,协调征地、拆迁工作。</w:t>
      </w:r>
    </w:p>
    <w:p>
      <w:pPr>
        <w:widowControl/>
        <w:spacing w:line="560" w:lineRule="atLeast"/>
        <w:ind w:firstLine="636" w:firstLineChars="199"/>
        <w:jc w:val="left"/>
        <w:rPr>
          <w:rFonts w:ascii="仿宋_GB2312" w:hAnsi="仿宋_GB2312" w:eastAsia="仿宋_GB2312" w:cs="宋体"/>
          <w:kern w:val="0"/>
          <w:szCs w:val="32"/>
        </w:rPr>
      </w:pPr>
      <w:r>
        <w:rPr>
          <w:rFonts w:ascii="仿宋_GB2312" w:hAnsi="仿宋_GB2312" w:eastAsia="仿宋_GB2312" w:cs="宋体"/>
          <w:kern w:val="0"/>
          <w:szCs w:val="32"/>
        </w:rPr>
        <w:t>11.承办区委、区政府交办的其他事项。</w:t>
      </w:r>
    </w:p>
    <w:p>
      <w:pPr>
        <w:spacing w:line="560" w:lineRule="exact"/>
        <w:ind w:firstLine="645"/>
        <w:rPr>
          <w:rFonts w:hint="eastAsia" w:ascii="仿宋_GB2312" w:hAnsi="仿宋_GB2312" w:eastAsia="仿宋_GB2312"/>
          <w:sz w:val="32"/>
          <w:szCs w:val="32"/>
        </w:rPr>
      </w:pPr>
      <w:r>
        <w:rPr>
          <w:rFonts w:hint="eastAsia" w:ascii="仿宋_GB2312" w:eastAsia="仿宋_GB2312"/>
          <w:color w:val="000000"/>
          <w:sz w:val="32"/>
          <w:szCs w:val="32"/>
          <w:shd w:val="clear" w:color="auto" w:fill="FFFFFF"/>
          <w:lang w:eastAsia="zh-CN"/>
        </w:rPr>
        <w:t>（三）内设机构</w:t>
      </w:r>
    </w:p>
    <w:p>
      <w:pPr>
        <w:pStyle w:val="5"/>
        <w:rPr>
          <w:rFonts w:hint="eastAsia" w:ascii="仿宋_GB2312" w:hAnsi="仿宋_GB2312" w:eastAsia="仿宋_GB2312"/>
          <w:sz w:val="32"/>
          <w:szCs w:val="32"/>
        </w:rPr>
      </w:pPr>
      <w:r>
        <w:rPr>
          <w:rFonts w:hint="eastAsia" w:ascii="仿宋_GB2312" w:hAnsi="仿宋_GB2312" w:eastAsia="仿宋_GB2312"/>
          <w:sz w:val="32"/>
          <w:szCs w:val="32"/>
        </w:rPr>
        <w:t>根据区委、区政府下发的关于《西安市未央区</w:t>
      </w:r>
      <w:r>
        <w:rPr>
          <w:rFonts w:hint="eastAsia" w:ascii="仿宋_GB2312" w:hAnsi="仿宋_GB2312" w:eastAsia="仿宋_GB2312"/>
          <w:sz w:val="32"/>
          <w:szCs w:val="32"/>
          <w:lang w:eastAsia="zh-CN"/>
        </w:rPr>
        <w:t>张家堡</w:t>
      </w:r>
      <w:r>
        <w:rPr>
          <w:rFonts w:hint="eastAsia" w:ascii="仿宋_GB2312" w:hAnsi="仿宋_GB2312" w:eastAsia="仿宋_GB2312"/>
          <w:sz w:val="32"/>
          <w:szCs w:val="32"/>
        </w:rPr>
        <w:t>街道机关主要职责内设机构和人员编制规定》(未办字[2017]4</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号)的文件要求，目前</w:t>
      </w:r>
      <w:bookmarkStart w:id="0" w:name="_GoBack"/>
      <w:bookmarkEnd w:id="0"/>
      <w:r>
        <w:rPr>
          <w:rFonts w:hint="eastAsia" w:ascii="仿宋_GB2312" w:hAnsi="仿宋_GB2312" w:eastAsia="仿宋_GB2312"/>
          <w:sz w:val="32"/>
          <w:szCs w:val="32"/>
        </w:rPr>
        <w:t>街道共设有1</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个职能科室，分别为党政办公室、党建科、综合发展科（招商引资</w:t>
      </w:r>
      <w:r>
        <w:rPr>
          <w:rFonts w:hint="eastAsia" w:ascii="仿宋_GB2312" w:hAnsi="仿宋_GB2312" w:eastAsia="仿宋_GB2312"/>
          <w:sz w:val="32"/>
          <w:szCs w:val="32"/>
          <w:lang w:eastAsia="zh-CN"/>
        </w:rPr>
        <w:t>、统计工作办公室</w:t>
      </w:r>
      <w:r>
        <w:rPr>
          <w:rFonts w:hint="eastAsia" w:ascii="仿宋_GB2312" w:hAnsi="仿宋_GB2312" w:eastAsia="仿宋_GB2312"/>
          <w:sz w:val="32"/>
          <w:szCs w:val="32"/>
        </w:rPr>
        <w:t>）、城市管理科、社会事务科、安全监督科、司法所（综治信访科）、便民服务中心、财务结算中心、环境卫生管理所</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治污减霾</w:t>
      </w:r>
      <w:r>
        <w:rPr>
          <w:rFonts w:hint="eastAsia" w:ascii="仿宋_GB2312" w:hAnsi="仿宋_GB2312" w:eastAsia="仿宋_GB2312"/>
          <w:sz w:val="32"/>
          <w:szCs w:val="32"/>
          <w:lang w:eastAsia="zh-CN"/>
        </w:rPr>
        <w:t>网格化办公室</w:t>
      </w:r>
      <w:r>
        <w:rPr>
          <w:rFonts w:hint="eastAsia" w:ascii="仿宋_GB2312" w:hAnsi="仿宋_GB2312" w:eastAsia="仿宋_GB2312"/>
          <w:sz w:val="32"/>
          <w:szCs w:val="32"/>
        </w:rPr>
        <w:t>、社区服务中心</w:t>
      </w:r>
      <w:r>
        <w:rPr>
          <w:rFonts w:hint="eastAsia" w:ascii="仿宋_GB2312" w:hAnsi="仿宋_GB2312" w:eastAsia="仿宋_GB2312"/>
          <w:sz w:val="32"/>
          <w:szCs w:val="32"/>
          <w:lang w:eastAsia="zh-CN"/>
        </w:rPr>
        <w:t>、城改事务办公室</w:t>
      </w:r>
      <w:r>
        <w:rPr>
          <w:rFonts w:hint="eastAsia" w:ascii="仿宋_GB2312" w:hAnsi="仿宋_GB2312" w:eastAsia="仿宋_GB2312"/>
          <w:sz w:val="32"/>
          <w:szCs w:val="32"/>
        </w:rPr>
        <w:t>。</w:t>
      </w:r>
    </w:p>
    <w:p>
      <w:pPr>
        <w:widowControl/>
        <w:spacing w:line="560" w:lineRule="atLeast"/>
        <w:ind w:firstLine="636" w:firstLineChars="199"/>
        <w:jc w:val="left"/>
        <w:rPr>
          <w:rFonts w:ascii="黑体" w:hAnsi="黑体" w:eastAsia="黑体" w:cs="宋体"/>
          <w:bCs/>
          <w:kern w:val="0"/>
          <w:szCs w:val="32"/>
        </w:rPr>
      </w:pPr>
      <w:r>
        <w:rPr>
          <w:rFonts w:hint="eastAsia" w:ascii="黑体" w:hAnsi="黑体" w:eastAsia="黑体" w:cs="宋体"/>
          <w:bCs/>
          <w:kern w:val="0"/>
          <w:szCs w:val="32"/>
        </w:rPr>
        <w:t>二、2018年年度部门工作任务</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1、经济发展 </w:t>
      </w:r>
    </w:p>
    <w:p>
      <w:pPr>
        <w:pStyle w:val="5"/>
        <w:rPr>
          <w:rFonts w:ascii="仿宋_GB2312" w:hAnsi="仿宋_GB2312" w:eastAsia="仿宋_GB2312"/>
          <w:sz w:val="32"/>
          <w:szCs w:val="32"/>
        </w:rPr>
      </w:pPr>
      <w:r>
        <w:rPr>
          <w:rFonts w:hint="eastAsia" w:ascii="仿宋_GB2312" w:hAnsi="仿宋_GB2312" w:eastAsia="仿宋_GB2312"/>
          <w:sz w:val="32"/>
          <w:szCs w:val="32"/>
        </w:rPr>
        <w:t>地方财政收入：地方财政一般预算收入达到1.75亿元； 地区生产总值完成41.2亿元，全社会固定资产投资完成6.62亿元，限额以上社会消费品零售总额达到19.38亿元，实际利用内资达到6.8亿元，实际引进外资786万美元，城镇居民可支配收入达到44888元，新增“四上企业”4家；</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2、社会管理 </w:t>
      </w:r>
    </w:p>
    <w:p>
      <w:pPr>
        <w:pStyle w:val="5"/>
        <w:rPr>
          <w:rFonts w:ascii="仿宋_GB2312" w:hAnsi="仿宋_GB2312" w:eastAsia="仿宋_GB2312"/>
          <w:sz w:val="32"/>
          <w:szCs w:val="32"/>
        </w:rPr>
      </w:pPr>
      <w:r>
        <w:rPr>
          <w:rFonts w:hint="eastAsia" w:ascii="仿宋_GB2312" w:hAnsi="仿宋_GB2312" w:eastAsia="仿宋_GB2312"/>
          <w:sz w:val="32"/>
          <w:szCs w:val="32"/>
        </w:rPr>
        <w:t>治污减霾：加大散煤禁烧工作力度；重点推行网格化建设，做好网格化管理的台账记录整理和资料归档工作，确保辖区实现网格化、精细化、规范化、标准化管理。</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人口管理：完成母亲健康工程，做好孕前优生健康检查工作；实施全面两孩政策，出生率保持在12‰以上，出生人口性别比趋于合理，降低到108.5以下； </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防震减灾：完成年度防震减灾各项目标任务；做好“西安市防震减灾示范区”创建及验收工作； </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学前教育：学前教育毛入园率达到98%； </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社会保障：城镇新增就业人数1000人；小额担保贷款任务； </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社区建设：强化社区阵地建设，建立社区环境治理“社长制”管理制度，形成制度化、精细化、常态化的社区环境长效管理体制，开展社区环境提升整治行动，切实提升社区治理水平； </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城镇住房保障：完成新增廉租住房、筹集公共租赁住房任务； </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环境治理：生活垃圾无害处理率100%，建设开放公厕3座，屋顶绿化8000平方米，墙体垂直绿化400平方米，完成城乡环境大整治及烟头革命、厕所革命、路长制、所长制等工作任务； </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土地管理：加大对城改项目工地的检查力度，定期深入排查安全隐患，并做好扬尘防范和治污减霾的工作； </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社会治安综合整治：人民群众对社会治安满意率高于90%；网格化服务管理和综合服务平台全部建成；平安社区创建率达到99.5%；群体性事件实现“一控制”目标；做好“三官一律”进社区（村）工作的督促检查工作。 </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安全生产：试行红、黄、蓝安全生产管理，实行各社区、小区统一安装电动车充电桩，边查即改实现2018年安全生产零事故； </w:t>
      </w:r>
    </w:p>
    <w:p>
      <w:pPr>
        <w:pStyle w:val="5"/>
        <w:rPr>
          <w:rFonts w:ascii="仿宋_GB2312" w:hAnsi="仿宋_GB2312" w:eastAsia="仿宋_GB2312"/>
          <w:sz w:val="32"/>
          <w:szCs w:val="32"/>
        </w:rPr>
      </w:pPr>
      <w:r>
        <w:rPr>
          <w:rFonts w:hint="eastAsia" w:ascii="仿宋_GB2312" w:hAnsi="仿宋_GB2312" w:eastAsia="仿宋_GB2312"/>
          <w:sz w:val="32"/>
          <w:szCs w:val="32"/>
        </w:rPr>
        <w:t xml:space="preserve">食品安全：杜绝伤害100人以上或出现死亡病例的Ⅲ级以上食品安全事故； </w:t>
      </w:r>
    </w:p>
    <w:p>
      <w:pPr>
        <w:pStyle w:val="5"/>
        <w:rPr>
          <w:rFonts w:ascii="仿宋_GB2312" w:hAnsi="仿宋_GB2312" w:eastAsia="仿宋_GB2312"/>
          <w:sz w:val="32"/>
          <w:szCs w:val="32"/>
        </w:rPr>
      </w:pPr>
      <w:r>
        <w:rPr>
          <w:rFonts w:hint="eastAsia" w:ascii="仿宋_GB2312" w:hAnsi="仿宋_GB2312" w:eastAsia="仿宋_GB2312"/>
          <w:sz w:val="32"/>
          <w:szCs w:val="32"/>
        </w:rPr>
        <w:t>信访工作：不突破上级下达的进京非正常访、赴省、到市集体访控制性指标；建立领导接访约访下访长效机制；根据实际情况及时召开专题会议，有效化解积案；上级交办案件按时效办结率100%；办信按时效回复率100%；切实解决群众合理诉求，解决一批信访积案、难案；严格落实《信访维稳考核办法》、《信访工作责任追究办法》；按照上级要求做好重要会议、重大活动期间信访工作；认真学习贯彻《信访条例》，完成上级交办其他信访工作任务。</w:t>
      </w:r>
    </w:p>
    <w:p>
      <w:pPr>
        <w:widowControl/>
        <w:numPr>
          <w:ilvl w:val="0"/>
          <w:numId w:val="1"/>
        </w:numPr>
        <w:spacing w:line="560" w:lineRule="atLeast"/>
        <w:ind w:firstLine="636" w:firstLineChars="199"/>
        <w:jc w:val="left"/>
        <w:rPr>
          <w:rFonts w:ascii="黑体" w:hAnsi="黑体" w:eastAsia="黑体"/>
          <w:szCs w:val="32"/>
        </w:rPr>
      </w:pPr>
      <w:r>
        <w:rPr>
          <w:rFonts w:hint="eastAsia" w:ascii="黑体" w:hAnsi="黑体" w:eastAsia="黑体"/>
          <w:szCs w:val="32"/>
        </w:rPr>
        <w:t>部门预算单位构成</w:t>
      </w:r>
    </w:p>
    <w:p>
      <w:pPr>
        <w:widowControl/>
        <w:spacing w:line="560" w:lineRule="atLeast"/>
        <w:ind w:firstLine="640" w:firstLineChars="200"/>
        <w:jc w:val="left"/>
        <w:rPr>
          <w:rFonts w:ascii="仿宋_GB2312" w:hAnsi="仿宋_GB2312" w:eastAsia="仿宋_GB2312"/>
          <w:szCs w:val="32"/>
        </w:rPr>
      </w:pPr>
      <w:r>
        <w:rPr>
          <w:rFonts w:hint="eastAsia" w:ascii="仿宋_GB2312" w:hAnsi="仿宋_GB2312" w:eastAsia="仿宋_GB2312"/>
          <w:szCs w:val="32"/>
        </w:rPr>
        <w:t>从预算单位构成看，本部门的部门预算包括张家堡街道办事处本级预算。</w:t>
      </w:r>
    </w:p>
    <w:p>
      <w:pPr>
        <w:widowControl/>
        <w:spacing w:line="560" w:lineRule="atLeast"/>
        <w:ind w:firstLine="640" w:firstLineChars="200"/>
        <w:jc w:val="left"/>
        <w:rPr>
          <w:rFonts w:ascii="仿宋_GB2312" w:hAnsi="仿宋_GB2312" w:eastAsia="仿宋_GB2312"/>
          <w:szCs w:val="32"/>
        </w:rPr>
      </w:pPr>
      <w:r>
        <w:rPr>
          <w:rFonts w:hint="eastAsia" w:ascii="仿宋_GB2312" w:hAnsi="仿宋_GB2312" w:eastAsia="仿宋_GB2312"/>
          <w:szCs w:val="32"/>
        </w:rPr>
        <w:t>纳入本部门2018年部门预算编制范围的二级预算单位共有1个，包括：</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1" w:type="dxa"/>
          </w:tcPr>
          <w:p>
            <w:pPr>
              <w:widowControl/>
              <w:spacing w:line="480" w:lineRule="atLeast"/>
              <w:jc w:val="center"/>
              <w:rPr>
                <w:rFonts w:ascii="仿宋_GB2312" w:hAnsi="仿宋_GB2312" w:eastAsia="仿宋_GB2312"/>
                <w:szCs w:val="32"/>
              </w:rPr>
            </w:pPr>
            <w:r>
              <w:rPr>
                <w:rFonts w:hint="eastAsia" w:ascii="仿宋_GB2312" w:hAnsi="仿宋_GB2312" w:eastAsia="仿宋_GB2312"/>
                <w:szCs w:val="32"/>
              </w:rPr>
              <w:t>序号</w:t>
            </w:r>
          </w:p>
        </w:tc>
        <w:tc>
          <w:tcPr>
            <w:tcW w:w="6361" w:type="dxa"/>
          </w:tcPr>
          <w:p>
            <w:pPr>
              <w:widowControl/>
              <w:spacing w:line="480" w:lineRule="atLeast"/>
              <w:jc w:val="center"/>
              <w:rPr>
                <w:rFonts w:ascii="仿宋_GB2312" w:hAnsi="仿宋_GB2312" w:eastAsia="仿宋_GB2312"/>
                <w:szCs w:val="32"/>
              </w:rPr>
            </w:pPr>
            <w:r>
              <w:rPr>
                <w:rFonts w:hint="eastAsia" w:ascii="仿宋_GB2312" w:hAnsi="仿宋_GB2312" w:eastAsia="仿宋_GB231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1" w:type="dxa"/>
          </w:tcPr>
          <w:p>
            <w:pPr>
              <w:widowControl/>
              <w:spacing w:line="480" w:lineRule="atLeast"/>
              <w:jc w:val="center"/>
              <w:rPr>
                <w:rFonts w:ascii="仿宋_GB2312" w:hAnsi="仿宋_GB2312" w:eastAsia="仿宋_GB2312"/>
                <w:szCs w:val="32"/>
              </w:rPr>
            </w:pPr>
            <w:r>
              <w:rPr>
                <w:rFonts w:hint="eastAsia" w:ascii="仿宋_GB2312" w:hAnsi="仿宋_GB2312" w:eastAsia="仿宋_GB2312"/>
                <w:szCs w:val="32"/>
              </w:rPr>
              <w:t>1</w:t>
            </w:r>
          </w:p>
        </w:tc>
        <w:tc>
          <w:tcPr>
            <w:tcW w:w="6361" w:type="dxa"/>
          </w:tcPr>
          <w:p>
            <w:pPr>
              <w:widowControl/>
              <w:spacing w:line="480" w:lineRule="atLeast"/>
              <w:jc w:val="left"/>
              <w:rPr>
                <w:rFonts w:ascii="仿宋_GB2312" w:hAnsi="仿宋_GB2312" w:eastAsia="仿宋_GB2312"/>
                <w:szCs w:val="32"/>
              </w:rPr>
            </w:pPr>
            <w:r>
              <w:rPr>
                <w:rFonts w:hint="eastAsia" w:ascii="仿宋_GB2312" w:hAnsi="仿宋_GB2312" w:eastAsia="仿宋_GB2312"/>
                <w:szCs w:val="32"/>
              </w:rPr>
              <w:t>张家堡街道办事处本级</w:t>
            </w:r>
          </w:p>
        </w:tc>
      </w:tr>
    </w:tbl>
    <w:p>
      <w:pPr>
        <w:widowControl/>
        <w:spacing w:line="480" w:lineRule="atLeast"/>
        <w:ind w:firstLine="640" w:firstLineChars="200"/>
        <w:jc w:val="left"/>
        <w:rPr>
          <w:rFonts w:ascii="仿宋_GB2312" w:hAnsi="仿宋_GB2312" w:eastAsia="仿宋_GB2312"/>
          <w:szCs w:val="32"/>
        </w:rPr>
      </w:pPr>
    </w:p>
    <w:p>
      <w:pPr>
        <w:widowControl/>
        <w:numPr>
          <w:ilvl w:val="0"/>
          <w:numId w:val="1"/>
        </w:numPr>
        <w:spacing w:line="560" w:lineRule="exact"/>
        <w:ind w:firstLine="636" w:firstLineChars="199"/>
        <w:jc w:val="left"/>
        <w:rPr>
          <w:rFonts w:ascii="黑体" w:hAnsi="黑体" w:eastAsia="黑体" w:cs="宋体"/>
          <w:bCs/>
          <w:kern w:val="0"/>
          <w:szCs w:val="32"/>
        </w:rPr>
      </w:pPr>
      <w:r>
        <w:rPr>
          <w:rFonts w:hint="eastAsia" w:ascii="黑体" w:hAnsi="黑体" w:eastAsia="黑体" w:cs="宋体"/>
          <w:bCs/>
          <w:kern w:val="0"/>
          <w:szCs w:val="32"/>
        </w:rPr>
        <w:t>部门人员情况说明</w:t>
      </w:r>
    </w:p>
    <w:p>
      <w:pPr>
        <w:widowControl/>
        <w:spacing w:line="560" w:lineRule="exact"/>
        <w:ind w:firstLine="640" w:firstLineChars="200"/>
        <w:jc w:val="left"/>
        <w:rPr>
          <w:rFonts w:ascii="宋体" w:hAnsi="宋体" w:eastAsia="宋体" w:cs="宋体"/>
          <w:kern w:val="0"/>
          <w:sz w:val="24"/>
          <w:szCs w:val="24"/>
        </w:rPr>
      </w:pPr>
      <w:r>
        <w:rPr>
          <w:rFonts w:hint="eastAsia" w:ascii="仿宋_GB2312" w:hAnsi="仿宋_GB2312" w:eastAsia="仿宋_GB2312" w:cs="宋体"/>
          <w:bCs/>
          <w:kern w:val="0"/>
          <w:szCs w:val="32"/>
        </w:rPr>
        <w:t>截止2017年底，本部门人员编制</w:t>
      </w:r>
      <w:r>
        <w:rPr>
          <w:rFonts w:hint="eastAsia" w:ascii="仿宋_GB2312" w:hAnsi="仿宋_GB2312" w:eastAsia="仿宋_GB2312"/>
          <w:szCs w:val="32"/>
        </w:rPr>
        <w:t>68人，其中行政编制29人、事业编制39人；实有人员81人、其中行政22人，事业59人。单位管理的离退休人员0人。</w:t>
      </w:r>
    </w:p>
    <w:p>
      <w:pPr>
        <w:widowControl/>
        <w:jc w:val="left"/>
        <w:rPr>
          <w:rFonts w:ascii="仿宋_GB2312" w:hAnsi="仿宋_GB2312" w:eastAsia="仿宋_GB2312"/>
          <w:szCs w:val="32"/>
        </w:rPr>
      </w:pPr>
      <w:r>
        <w:rPr>
          <w:rFonts w:ascii="宋体" w:hAnsi="宋体" w:eastAsia="宋体" w:cs="宋体"/>
          <w:kern w:val="0"/>
          <w:sz w:val="24"/>
          <w:szCs w:val="24"/>
        </w:rPr>
        <w:drawing>
          <wp:inline distT="0" distB="0" distL="0" distR="0">
            <wp:extent cx="4333875" cy="2905125"/>
            <wp:effectExtent l="19050" t="0" r="9525" b="0"/>
            <wp:docPr id="16" name="图片 10" descr="C:\Users\lenovo\AppData\Roaming\Tencent\Users\411082403\QQ\WinTemp\RichOle\Z(Z~$6V(@X3WQC%4%IYW4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C:\Users\lenovo\AppData\Roaming\Tencent\Users\411082403\QQ\WinTemp\RichOle\Z(Z~$6V(@X3WQC%4%IYW4TT.png"/>
                    <pic:cNvPicPr>
                      <a:picLocks noChangeAspect="1" noChangeArrowheads="1"/>
                    </pic:cNvPicPr>
                  </pic:nvPicPr>
                  <pic:blipFill>
                    <a:blip r:embed="rId4"/>
                    <a:srcRect/>
                    <a:stretch>
                      <a:fillRect/>
                    </a:stretch>
                  </pic:blipFill>
                  <pic:spPr>
                    <a:xfrm>
                      <a:off x="0" y="0"/>
                      <a:ext cx="4333875" cy="2905125"/>
                    </a:xfrm>
                    <a:prstGeom prst="rect">
                      <a:avLst/>
                    </a:prstGeom>
                    <a:noFill/>
                    <a:ln w="9525">
                      <a:noFill/>
                      <a:miter lim="800000"/>
                      <a:headEnd/>
                      <a:tailEnd/>
                    </a:ln>
                  </pic:spPr>
                </pic:pic>
              </a:graphicData>
            </a:graphic>
          </wp:inline>
        </w:drawing>
      </w:r>
    </w:p>
    <w:p>
      <w:pPr>
        <w:widowControl/>
        <w:numPr>
          <w:ilvl w:val="0"/>
          <w:numId w:val="1"/>
        </w:numPr>
        <w:spacing w:line="560" w:lineRule="exact"/>
        <w:ind w:firstLine="636" w:firstLineChars="199"/>
        <w:jc w:val="left"/>
        <w:rPr>
          <w:rFonts w:ascii="黑体" w:hAnsi="黑体" w:eastAsia="黑体"/>
          <w:szCs w:val="32"/>
        </w:rPr>
      </w:pPr>
      <w:r>
        <w:rPr>
          <w:rFonts w:hint="eastAsia" w:ascii="黑体" w:hAnsi="黑体" w:eastAsia="黑体"/>
          <w:szCs w:val="32"/>
        </w:rPr>
        <w:t>部门国有资产占有使用及资产购置情况说明</w:t>
      </w:r>
    </w:p>
    <w:p>
      <w:pPr>
        <w:widowControl/>
        <w:spacing w:line="560" w:lineRule="exact"/>
        <w:ind w:firstLine="640" w:firstLineChars="200"/>
        <w:jc w:val="left"/>
        <w:rPr>
          <w:rFonts w:ascii="仿宋_GB2312" w:hAnsi="仿宋_GB2312" w:eastAsia="仿宋_GB2312"/>
          <w:szCs w:val="32"/>
        </w:rPr>
      </w:pPr>
      <w:r>
        <w:rPr>
          <w:rFonts w:hint="eastAsia" w:ascii="仿宋_GB2312" w:hAnsi="仿宋_GB2312" w:eastAsia="仿宋_GB2312"/>
          <w:szCs w:val="32"/>
        </w:rPr>
        <w:t>截至2017年12月31日，本部门所属预算单位共有车辆25辆，单价20万元以上的设备0台（套）。2018年部门预算安排购置车辆1辆；安排购置单价20万元以上的设备0台（套）。</w:t>
      </w:r>
    </w:p>
    <w:p>
      <w:pPr>
        <w:widowControl/>
        <w:numPr>
          <w:ilvl w:val="0"/>
          <w:numId w:val="1"/>
        </w:numPr>
        <w:spacing w:line="560" w:lineRule="exact"/>
        <w:ind w:firstLine="636" w:firstLineChars="199"/>
        <w:jc w:val="left"/>
        <w:rPr>
          <w:rFonts w:ascii="黑体" w:hAnsi="黑体" w:eastAsia="黑体"/>
          <w:szCs w:val="32"/>
        </w:rPr>
      </w:pPr>
      <w:r>
        <w:rPr>
          <w:rFonts w:hint="eastAsia" w:ascii="黑体" w:hAnsi="黑体" w:eastAsia="黑体"/>
          <w:szCs w:val="32"/>
        </w:rPr>
        <w:t>部门预算绩效目标说明</w:t>
      </w:r>
    </w:p>
    <w:p>
      <w:pPr>
        <w:widowControl/>
        <w:spacing w:line="560" w:lineRule="exact"/>
        <w:ind w:firstLine="640" w:firstLineChars="200"/>
        <w:jc w:val="left"/>
        <w:rPr>
          <w:rFonts w:ascii="仿宋_GB2312" w:hAnsi="仿宋_GB2312" w:eastAsia="仿宋_GB2312"/>
          <w:szCs w:val="32"/>
        </w:rPr>
      </w:pPr>
      <w:r>
        <w:rPr>
          <w:rFonts w:hint="eastAsia" w:ascii="仿宋_GB2312" w:hAnsi="仿宋_GB2312" w:eastAsia="仿宋_GB2312"/>
          <w:szCs w:val="32"/>
        </w:rPr>
        <w:t>2018年本部门实现了绩效目标管理全覆盖，涉及一般公共预算当年拨款</w:t>
      </w:r>
      <w:r>
        <w:rPr>
          <w:rFonts w:ascii="仿宋_GB2312" w:hAnsi="仿宋_GB2312" w:eastAsia="仿宋_GB2312"/>
          <w:szCs w:val="32"/>
        </w:rPr>
        <w:t>3339</w:t>
      </w:r>
      <w:r>
        <w:rPr>
          <w:rFonts w:hint="eastAsia" w:ascii="仿宋_GB2312" w:hAnsi="仿宋_GB2312" w:eastAsia="仿宋_GB2312"/>
          <w:szCs w:val="32"/>
        </w:rPr>
        <w:t>.</w:t>
      </w:r>
      <w:r>
        <w:rPr>
          <w:rFonts w:ascii="仿宋_GB2312" w:hAnsi="仿宋_GB2312" w:eastAsia="仿宋_GB2312"/>
          <w:szCs w:val="32"/>
        </w:rPr>
        <w:t>98</w:t>
      </w:r>
      <w:r>
        <w:rPr>
          <w:rFonts w:hint="eastAsia" w:ascii="仿宋_GB2312" w:hAnsi="仿宋_GB2312" w:eastAsia="仿宋_GB2312"/>
          <w:szCs w:val="32"/>
        </w:rPr>
        <w:t>万元，政府性基金预算当年拨款0万元。</w:t>
      </w:r>
    </w:p>
    <w:p>
      <w:pPr>
        <w:widowControl/>
        <w:spacing w:line="560" w:lineRule="exact"/>
        <w:ind w:firstLine="640" w:firstLineChars="200"/>
        <w:jc w:val="left"/>
        <w:rPr>
          <w:rFonts w:ascii="黑体" w:hAnsi="黑体" w:eastAsia="黑体" w:cs="宋体"/>
          <w:bCs/>
          <w:kern w:val="0"/>
          <w:szCs w:val="32"/>
        </w:rPr>
      </w:pPr>
      <w:r>
        <w:rPr>
          <w:rFonts w:hint="eastAsia" w:ascii="黑体" w:hAnsi="黑体" w:eastAsia="黑体"/>
          <w:szCs w:val="32"/>
        </w:rPr>
        <w:t>七、2018年</w:t>
      </w:r>
      <w:r>
        <w:rPr>
          <w:rFonts w:hint="eastAsia" w:ascii="黑体" w:hAnsi="黑体" w:eastAsia="黑体" w:cs="宋体"/>
          <w:bCs/>
          <w:kern w:val="0"/>
          <w:szCs w:val="32"/>
        </w:rPr>
        <w:t>部门预算收支说明</w:t>
      </w:r>
    </w:p>
    <w:p>
      <w:pPr>
        <w:widowControl/>
        <w:spacing w:line="560" w:lineRule="exact"/>
        <w:ind w:firstLine="640" w:firstLineChars="200"/>
        <w:rPr>
          <w:rFonts w:ascii="楷体_GB2312" w:hAnsi="楷体_GB2312" w:eastAsia="楷体_GB2312" w:cs="宋体"/>
          <w:kern w:val="0"/>
          <w:szCs w:val="32"/>
        </w:rPr>
      </w:pPr>
      <w:r>
        <w:rPr>
          <w:rFonts w:hint="eastAsia" w:ascii="楷体_GB2312" w:hAnsi="楷体_GB2312" w:eastAsia="楷体_GB2312" w:cs="宋体"/>
          <w:kern w:val="0"/>
          <w:szCs w:val="32"/>
        </w:rPr>
        <w:t>（一）收支预算总体情况</w:t>
      </w:r>
    </w:p>
    <w:p>
      <w:pPr>
        <w:widowControl/>
        <w:spacing w:line="560" w:lineRule="exact"/>
        <w:ind w:firstLine="640" w:firstLineChars="200"/>
        <w:rPr>
          <w:rFonts w:ascii="仿宋_GB2312" w:hAnsi="仿宋_GB2312" w:eastAsia="仿宋_GB2312" w:cs="宋体"/>
          <w:kern w:val="0"/>
          <w:szCs w:val="32"/>
        </w:rPr>
      </w:pPr>
      <w:r>
        <w:rPr>
          <w:rFonts w:hint="eastAsia" w:ascii="仿宋_GB2312" w:hAnsi="仿宋_GB2312" w:eastAsia="仿宋_GB2312" w:cs="宋体"/>
          <w:kern w:val="0"/>
          <w:szCs w:val="32"/>
        </w:rPr>
        <w:t xml:space="preserve">2018年, </w:t>
      </w:r>
      <w:r>
        <w:rPr>
          <w:rFonts w:hint="eastAsia" w:ascii="仿宋_GB2312" w:hAnsi="仿宋_GB2312" w:eastAsia="仿宋_GB2312"/>
          <w:szCs w:val="32"/>
        </w:rPr>
        <w:t>张家堡街办</w:t>
      </w:r>
      <w:r>
        <w:rPr>
          <w:rFonts w:hint="eastAsia" w:ascii="仿宋_GB2312" w:hAnsi="仿宋_GB2312" w:eastAsia="仿宋_GB2312" w:cs="宋体"/>
          <w:kern w:val="0"/>
          <w:szCs w:val="32"/>
        </w:rPr>
        <w:t>收入预算为</w:t>
      </w:r>
      <w:r>
        <w:rPr>
          <w:rFonts w:hint="eastAsia" w:ascii="仿宋_GB2312" w:hAnsi="仿宋_GB2312" w:eastAsia="仿宋_GB2312"/>
          <w:szCs w:val="32"/>
        </w:rPr>
        <w:t>4638.22</w:t>
      </w:r>
      <w:r>
        <w:rPr>
          <w:rFonts w:hint="eastAsia" w:ascii="仿宋_GB2312" w:hAnsi="仿宋_GB2312" w:eastAsia="仿宋_GB2312" w:cs="宋体"/>
          <w:kern w:val="0"/>
          <w:szCs w:val="32"/>
        </w:rPr>
        <w:t>万元，其中:财政拨款预算为</w:t>
      </w:r>
      <w:r>
        <w:rPr>
          <w:rFonts w:hint="eastAsia" w:ascii="仿宋_GB2312" w:hAnsi="仿宋_GB2312" w:eastAsia="仿宋_GB2312"/>
          <w:szCs w:val="32"/>
        </w:rPr>
        <w:t>4638.22</w:t>
      </w:r>
      <w:r>
        <w:rPr>
          <w:rFonts w:hint="eastAsia" w:ascii="仿宋_GB2312" w:hAnsi="仿宋_GB2312" w:eastAsia="仿宋_GB2312" w:cs="宋体"/>
          <w:kern w:val="0"/>
          <w:szCs w:val="32"/>
        </w:rPr>
        <w:t>万元，较上年预算增长</w:t>
      </w:r>
      <w:r>
        <w:rPr>
          <w:rFonts w:hint="eastAsia" w:ascii="仿宋_GB2312" w:hAnsi="仿宋_GB2312" w:eastAsia="仿宋_GB2312"/>
          <w:szCs w:val="32"/>
        </w:rPr>
        <w:t>155.18</w:t>
      </w:r>
      <w:r>
        <w:rPr>
          <w:rFonts w:hint="eastAsia" w:ascii="仿宋_GB2312" w:hAnsi="仿宋_GB2312" w:eastAsia="仿宋_GB2312" w:cs="宋体"/>
          <w:kern w:val="0"/>
          <w:szCs w:val="32"/>
        </w:rPr>
        <w:t>%，增减变动较大的原因是</w:t>
      </w:r>
      <w:r>
        <w:rPr>
          <w:rFonts w:hint="eastAsia" w:ascii="仿宋_GB2312" w:hAnsi="仿宋_GB2312" w:eastAsia="仿宋_GB2312"/>
          <w:szCs w:val="32"/>
        </w:rPr>
        <w:t>2018年将保洁员报酬、城管执法人员报酬、社区人员报酬纳入街办预算统一管理</w:t>
      </w:r>
      <w:r>
        <w:rPr>
          <w:rFonts w:hint="eastAsia" w:ascii="仿宋_GB2312" w:hAnsi="仿宋_GB2312" w:eastAsia="仿宋_GB2312" w:cs="宋体"/>
          <w:kern w:val="0"/>
          <w:szCs w:val="32"/>
        </w:rPr>
        <w:t>；支出预算为</w:t>
      </w:r>
      <w:r>
        <w:rPr>
          <w:rFonts w:hint="eastAsia" w:ascii="仿宋_GB2312" w:hAnsi="仿宋_GB2312" w:eastAsia="仿宋_GB2312"/>
          <w:szCs w:val="32"/>
        </w:rPr>
        <w:t>4638.22万</w:t>
      </w:r>
      <w:r>
        <w:rPr>
          <w:rFonts w:hint="eastAsia" w:ascii="仿宋_GB2312" w:hAnsi="仿宋_GB2312" w:eastAsia="仿宋_GB2312" w:cs="宋体"/>
          <w:kern w:val="0"/>
          <w:szCs w:val="32"/>
        </w:rPr>
        <w:t>元，较上年预算增长</w:t>
      </w:r>
      <w:r>
        <w:rPr>
          <w:rFonts w:hint="eastAsia" w:ascii="仿宋_GB2312" w:hAnsi="仿宋_GB2312" w:eastAsia="仿宋_GB2312"/>
          <w:szCs w:val="32"/>
        </w:rPr>
        <w:t>155.18</w:t>
      </w:r>
      <w:r>
        <w:rPr>
          <w:rFonts w:hint="eastAsia" w:ascii="仿宋_GB2312" w:hAnsi="仿宋_GB2312" w:eastAsia="仿宋_GB2312" w:cs="宋体"/>
          <w:kern w:val="0"/>
          <w:szCs w:val="32"/>
        </w:rPr>
        <w:t>%，增减变动较大的原因是</w:t>
      </w:r>
      <w:r>
        <w:rPr>
          <w:rFonts w:hint="eastAsia" w:ascii="仿宋_GB2312" w:hAnsi="仿宋_GB2312" w:eastAsia="仿宋_GB2312"/>
          <w:szCs w:val="32"/>
        </w:rPr>
        <w:t>2018年将保洁员报酬、城管执法人员报酬、社区人员报酬纳入街办预算统一管理</w:t>
      </w:r>
      <w:r>
        <w:rPr>
          <w:rFonts w:hint="eastAsia" w:ascii="仿宋_GB2312" w:hAnsi="仿宋_GB2312" w:eastAsia="仿宋_GB2312" w:cs="宋体"/>
          <w:kern w:val="0"/>
          <w:szCs w:val="32"/>
        </w:rPr>
        <w:t>。</w:t>
      </w:r>
    </w:p>
    <w:p>
      <w:pPr>
        <w:widowControl/>
        <w:spacing w:line="560" w:lineRule="exact"/>
        <w:ind w:firstLine="640" w:firstLineChars="200"/>
        <w:rPr>
          <w:rFonts w:ascii="楷体_GB2312" w:hAnsi="楷体_GB2312" w:eastAsia="楷体_GB2312" w:cs="宋体"/>
          <w:kern w:val="0"/>
          <w:szCs w:val="32"/>
        </w:rPr>
      </w:pPr>
      <w:r>
        <w:rPr>
          <w:rFonts w:hint="eastAsia" w:ascii="楷体_GB2312" w:hAnsi="楷体_GB2312" w:eastAsia="楷体_GB2312" w:cs="宋体"/>
          <w:kern w:val="0"/>
          <w:szCs w:val="32"/>
        </w:rPr>
        <w:t>（二）财政拨款收支情况</w:t>
      </w:r>
    </w:p>
    <w:p>
      <w:pPr>
        <w:widowControl/>
        <w:spacing w:line="560" w:lineRule="exact"/>
        <w:ind w:firstLine="640" w:firstLineChars="200"/>
        <w:rPr>
          <w:rFonts w:ascii="仿宋_GB2312" w:hAnsi="仿宋_GB2312" w:eastAsia="仿宋_GB2312" w:cs="宋体"/>
          <w:kern w:val="0"/>
          <w:szCs w:val="32"/>
        </w:rPr>
      </w:pPr>
      <w:r>
        <w:rPr>
          <w:rFonts w:hint="eastAsia" w:ascii="仿宋_GB2312" w:hAnsi="仿宋_GB2312" w:eastAsia="仿宋_GB2312" w:cs="宋体"/>
          <w:kern w:val="0"/>
          <w:szCs w:val="32"/>
        </w:rPr>
        <w:t xml:space="preserve">2018年, </w:t>
      </w:r>
      <w:r>
        <w:rPr>
          <w:rFonts w:hint="eastAsia" w:ascii="仿宋_GB2312" w:hAnsi="仿宋_GB2312" w:eastAsia="仿宋_GB2312"/>
          <w:szCs w:val="32"/>
        </w:rPr>
        <w:t>张家堡街办</w:t>
      </w:r>
      <w:r>
        <w:rPr>
          <w:rFonts w:hint="eastAsia" w:ascii="仿宋_GB2312" w:hAnsi="仿宋_GB2312" w:eastAsia="仿宋_GB2312" w:cs="宋体"/>
          <w:kern w:val="0"/>
          <w:szCs w:val="32"/>
        </w:rPr>
        <w:t>财政拨款收入预算为</w:t>
      </w:r>
      <w:r>
        <w:rPr>
          <w:rFonts w:hint="eastAsia" w:ascii="仿宋_GB2312" w:hAnsi="仿宋_GB2312" w:eastAsia="仿宋_GB2312"/>
          <w:szCs w:val="32"/>
        </w:rPr>
        <w:t>4638.22</w:t>
      </w:r>
      <w:r>
        <w:rPr>
          <w:rFonts w:hint="eastAsia" w:ascii="仿宋_GB2312" w:hAnsi="仿宋_GB2312" w:eastAsia="仿宋_GB2312" w:cs="宋体"/>
          <w:kern w:val="0"/>
          <w:szCs w:val="32"/>
        </w:rPr>
        <w:t>万元，较上年预算增长</w:t>
      </w:r>
      <w:r>
        <w:rPr>
          <w:rFonts w:hint="eastAsia" w:ascii="仿宋_GB2312" w:hAnsi="仿宋_GB2312" w:eastAsia="仿宋_GB2312"/>
          <w:szCs w:val="32"/>
        </w:rPr>
        <w:t>155.18</w:t>
      </w:r>
      <w:r>
        <w:rPr>
          <w:rFonts w:hint="eastAsia" w:ascii="仿宋_GB2312" w:hAnsi="仿宋_GB2312" w:eastAsia="仿宋_GB2312" w:cs="宋体"/>
          <w:kern w:val="0"/>
          <w:szCs w:val="32"/>
        </w:rPr>
        <w:t>%，增减变动较大的原因是</w:t>
      </w:r>
      <w:r>
        <w:rPr>
          <w:rFonts w:hint="eastAsia" w:ascii="仿宋_GB2312" w:hAnsi="仿宋_GB2312" w:eastAsia="仿宋_GB2312"/>
          <w:szCs w:val="32"/>
        </w:rPr>
        <w:t>2018年将保洁员报酬、城管执法人员报酬、社区人员报酬纳入街办预算统一管理</w:t>
      </w:r>
      <w:r>
        <w:rPr>
          <w:rFonts w:hint="eastAsia" w:ascii="仿宋_GB2312" w:hAnsi="仿宋_GB2312" w:eastAsia="仿宋_GB2312" w:cs="宋体"/>
          <w:kern w:val="0"/>
          <w:szCs w:val="32"/>
        </w:rPr>
        <w:t>；财政拨款支出预算为</w:t>
      </w:r>
      <w:r>
        <w:rPr>
          <w:rFonts w:hint="eastAsia" w:ascii="仿宋_GB2312" w:hAnsi="仿宋_GB2312" w:eastAsia="仿宋_GB2312"/>
          <w:szCs w:val="32"/>
        </w:rPr>
        <w:t>4638.22万</w:t>
      </w:r>
      <w:r>
        <w:rPr>
          <w:rFonts w:hint="eastAsia" w:ascii="仿宋_GB2312" w:hAnsi="仿宋_GB2312" w:eastAsia="仿宋_GB2312" w:cs="宋体"/>
          <w:kern w:val="0"/>
          <w:szCs w:val="32"/>
        </w:rPr>
        <w:t>元，较上年预算增长</w:t>
      </w:r>
      <w:r>
        <w:rPr>
          <w:rFonts w:hint="eastAsia" w:ascii="仿宋_GB2312" w:hAnsi="仿宋_GB2312" w:eastAsia="仿宋_GB2312"/>
          <w:szCs w:val="32"/>
        </w:rPr>
        <w:t>155.18</w:t>
      </w:r>
      <w:r>
        <w:rPr>
          <w:rFonts w:hint="eastAsia" w:ascii="仿宋_GB2312" w:hAnsi="仿宋_GB2312" w:eastAsia="仿宋_GB2312" w:cs="宋体"/>
          <w:kern w:val="0"/>
          <w:szCs w:val="32"/>
        </w:rPr>
        <w:t>%，增减变动较大的原因是</w:t>
      </w:r>
      <w:r>
        <w:rPr>
          <w:rFonts w:hint="eastAsia" w:ascii="仿宋_GB2312" w:hAnsi="仿宋_GB2312" w:eastAsia="仿宋_GB2312"/>
          <w:szCs w:val="32"/>
        </w:rPr>
        <w:t>2018年将保洁员报酬、城管执法人员报酬、社区人员报酬纳入街办预算统一管理</w:t>
      </w:r>
      <w:r>
        <w:rPr>
          <w:rFonts w:hint="eastAsia" w:ascii="仿宋_GB2312" w:hAnsi="仿宋_GB2312" w:eastAsia="仿宋_GB2312" w:cs="宋体"/>
          <w:kern w:val="0"/>
          <w:szCs w:val="32"/>
        </w:rPr>
        <w:t>。</w:t>
      </w:r>
    </w:p>
    <w:p>
      <w:pPr>
        <w:widowControl/>
        <w:numPr>
          <w:ilvl w:val="0"/>
          <w:numId w:val="2"/>
        </w:numPr>
        <w:spacing w:line="560" w:lineRule="exact"/>
        <w:ind w:firstLine="640" w:firstLineChars="200"/>
        <w:rPr>
          <w:rFonts w:ascii="楷体_GB2312" w:hAnsi="楷体_GB2312" w:eastAsia="楷体_GB2312" w:cs="宋体"/>
          <w:kern w:val="0"/>
          <w:szCs w:val="32"/>
        </w:rPr>
      </w:pPr>
      <w:r>
        <w:rPr>
          <w:rFonts w:hint="eastAsia" w:ascii="楷体_GB2312" w:hAnsi="楷体_GB2312" w:eastAsia="楷体_GB2312" w:cs="宋体"/>
          <w:kern w:val="0"/>
          <w:szCs w:val="32"/>
        </w:rPr>
        <w:t>一般公共预算拨款支出明细情况</w:t>
      </w:r>
    </w:p>
    <w:p>
      <w:pPr>
        <w:widowControl/>
        <w:spacing w:line="560" w:lineRule="exact"/>
        <w:ind w:firstLine="643" w:firstLineChars="200"/>
        <w:rPr>
          <w:rFonts w:ascii="仿宋_GB2312" w:hAnsi="仿宋_GB2312" w:eastAsia="仿宋_GB2312" w:cs="宋体"/>
          <w:b/>
          <w:bCs/>
          <w:kern w:val="0"/>
          <w:szCs w:val="32"/>
        </w:rPr>
      </w:pPr>
      <w:r>
        <w:rPr>
          <w:rFonts w:hint="eastAsia" w:ascii="仿宋_GB2312" w:hAnsi="仿宋_GB2312" w:eastAsia="仿宋_GB2312" w:cs="宋体"/>
          <w:b/>
          <w:bCs/>
          <w:kern w:val="0"/>
          <w:szCs w:val="32"/>
        </w:rPr>
        <w:t>1.一般公共预算当年拨款规模变化情况。</w:t>
      </w:r>
    </w:p>
    <w:p>
      <w:pPr>
        <w:widowControl/>
        <w:spacing w:line="560" w:lineRule="exact"/>
        <w:ind w:firstLine="640" w:firstLineChars="200"/>
        <w:rPr>
          <w:rFonts w:ascii="仿宋_GB2312" w:hAnsi="仿宋_GB2312" w:eastAsia="仿宋_GB2312" w:cs="宋体"/>
          <w:kern w:val="0"/>
          <w:szCs w:val="32"/>
        </w:rPr>
      </w:pPr>
      <w:r>
        <w:rPr>
          <w:rFonts w:hint="eastAsia" w:ascii="仿宋_GB2312" w:hAnsi="仿宋_GB2312" w:eastAsia="仿宋_GB2312" w:cs="宋体"/>
          <w:kern w:val="0"/>
          <w:szCs w:val="32"/>
        </w:rPr>
        <w:t>2018年，张家堡街办一般公共预算拨款收入预算为</w:t>
      </w:r>
      <w:r>
        <w:rPr>
          <w:rFonts w:hint="eastAsia" w:ascii="仿宋_GB2312" w:hAnsi="仿宋_GB2312" w:eastAsia="仿宋_GB2312"/>
          <w:szCs w:val="32"/>
        </w:rPr>
        <w:t>4638.22</w:t>
      </w:r>
      <w:r>
        <w:rPr>
          <w:rFonts w:hint="eastAsia" w:ascii="仿宋_GB2312" w:hAnsi="仿宋_GB2312" w:eastAsia="仿宋_GB2312" w:cs="宋体"/>
          <w:kern w:val="0"/>
          <w:szCs w:val="32"/>
        </w:rPr>
        <w:t>万元，较上年预算增长</w:t>
      </w:r>
      <w:r>
        <w:rPr>
          <w:rFonts w:hint="eastAsia" w:ascii="仿宋_GB2312" w:hAnsi="仿宋_GB2312" w:eastAsia="仿宋_GB2312"/>
          <w:szCs w:val="32"/>
        </w:rPr>
        <w:t>155.18</w:t>
      </w:r>
      <w:r>
        <w:rPr>
          <w:rFonts w:hint="eastAsia" w:ascii="仿宋_GB2312" w:hAnsi="仿宋_GB2312" w:eastAsia="仿宋_GB2312" w:cs="宋体"/>
          <w:kern w:val="0"/>
          <w:szCs w:val="32"/>
        </w:rPr>
        <w:t>%，增减变动较大的原因是</w:t>
      </w:r>
      <w:r>
        <w:rPr>
          <w:rFonts w:hint="eastAsia" w:ascii="仿宋_GB2312" w:hAnsi="仿宋_GB2312" w:eastAsia="仿宋_GB2312"/>
          <w:szCs w:val="32"/>
        </w:rPr>
        <w:t>2018年将保洁员报酬、城管执法人员报酬、社区人员报酬纳入街办预算统一管理</w:t>
      </w:r>
      <w:r>
        <w:rPr>
          <w:rFonts w:hint="eastAsia" w:ascii="仿宋_GB2312" w:hAnsi="仿宋_GB2312" w:eastAsia="仿宋_GB2312" w:cs="宋体"/>
          <w:kern w:val="0"/>
          <w:szCs w:val="32"/>
        </w:rPr>
        <w:t>；一般公共预算拨款支出预算为</w:t>
      </w:r>
      <w:r>
        <w:rPr>
          <w:rFonts w:hint="eastAsia" w:ascii="仿宋_GB2312" w:hAnsi="仿宋_GB2312" w:eastAsia="仿宋_GB2312"/>
          <w:szCs w:val="32"/>
        </w:rPr>
        <w:t>4638.22万</w:t>
      </w:r>
      <w:r>
        <w:rPr>
          <w:rFonts w:hint="eastAsia" w:ascii="仿宋_GB2312" w:hAnsi="仿宋_GB2312" w:eastAsia="仿宋_GB2312" w:cs="宋体"/>
          <w:kern w:val="0"/>
          <w:szCs w:val="32"/>
        </w:rPr>
        <w:t>元，较上年预算增长</w:t>
      </w:r>
      <w:r>
        <w:rPr>
          <w:rFonts w:hint="eastAsia" w:ascii="仿宋_GB2312" w:hAnsi="仿宋_GB2312" w:eastAsia="仿宋_GB2312"/>
          <w:szCs w:val="32"/>
        </w:rPr>
        <w:t>155.18</w:t>
      </w:r>
      <w:r>
        <w:rPr>
          <w:rFonts w:hint="eastAsia" w:ascii="仿宋_GB2312" w:hAnsi="仿宋_GB2312" w:eastAsia="仿宋_GB2312" w:cs="宋体"/>
          <w:kern w:val="0"/>
          <w:szCs w:val="32"/>
        </w:rPr>
        <w:t>%，增减变动较大的原因是</w:t>
      </w:r>
      <w:r>
        <w:rPr>
          <w:rFonts w:hint="eastAsia" w:ascii="仿宋_GB2312" w:hAnsi="仿宋_GB2312" w:eastAsia="仿宋_GB2312"/>
          <w:szCs w:val="32"/>
        </w:rPr>
        <w:t>2018年将保洁员报酬、城管执法人员报酬、社区人员报酬纳入街办预算统一管理</w:t>
      </w:r>
      <w:r>
        <w:rPr>
          <w:rFonts w:hint="eastAsia" w:ascii="仿宋_GB2312" w:hAnsi="仿宋_GB2312" w:eastAsia="仿宋_GB2312" w:cs="宋体"/>
          <w:kern w:val="0"/>
          <w:szCs w:val="32"/>
        </w:rPr>
        <w:t>。</w:t>
      </w:r>
    </w:p>
    <w:p>
      <w:pPr>
        <w:widowControl/>
        <w:numPr>
          <w:ilvl w:val="0"/>
          <w:numId w:val="3"/>
        </w:numPr>
        <w:spacing w:line="560" w:lineRule="exact"/>
        <w:ind w:firstLine="643" w:firstLineChars="200"/>
        <w:rPr>
          <w:rFonts w:ascii="仿宋_GB2312" w:hAnsi="仿宋_GB2312" w:eastAsia="仿宋_GB2312" w:cs="宋体"/>
          <w:b/>
          <w:bCs/>
          <w:kern w:val="0"/>
          <w:szCs w:val="32"/>
        </w:rPr>
      </w:pPr>
      <w:r>
        <w:rPr>
          <w:rFonts w:hint="eastAsia" w:ascii="仿宋_GB2312" w:hAnsi="仿宋_GB2312" w:eastAsia="仿宋_GB2312" w:cs="宋体"/>
          <w:b/>
          <w:bCs/>
          <w:kern w:val="0"/>
          <w:szCs w:val="32"/>
        </w:rPr>
        <w:t>支出按功能科目分类的明细情况</w:t>
      </w:r>
    </w:p>
    <w:p>
      <w:pPr>
        <w:widowControl/>
        <w:spacing w:line="560" w:lineRule="exact"/>
        <w:ind w:firstLine="640" w:firstLineChars="200"/>
        <w:rPr>
          <w:rFonts w:ascii="仿宋_GB2312" w:hAnsi="仿宋_GB2312" w:eastAsia="仿宋_GB2312" w:cs="宋体"/>
          <w:kern w:val="0"/>
          <w:szCs w:val="32"/>
        </w:rPr>
      </w:pPr>
    </w:p>
    <w:tbl>
      <w:tblPr>
        <w:tblStyle w:val="7"/>
        <w:tblW w:w="9654" w:type="dxa"/>
        <w:tblInd w:w="-601" w:type="dxa"/>
        <w:tblLayout w:type="fixed"/>
        <w:tblCellMar>
          <w:top w:w="0" w:type="dxa"/>
          <w:left w:w="108" w:type="dxa"/>
          <w:bottom w:w="0" w:type="dxa"/>
          <w:right w:w="108" w:type="dxa"/>
        </w:tblCellMar>
      </w:tblPr>
      <w:tblGrid>
        <w:gridCol w:w="846"/>
        <w:gridCol w:w="1878"/>
        <w:gridCol w:w="1386"/>
        <w:gridCol w:w="1496"/>
        <w:gridCol w:w="1226"/>
        <w:gridCol w:w="1386"/>
        <w:gridCol w:w="1436"/>
      </w:tblGrid>
      <w:tr>
        <w:tblPrEx>
          <w:tblLayout w:type="fixed"/>
          <w:tblCellMar>
            <w:top w:w="0" w:type="dxa"/>
            <w:left w:w="108" w:type="dxa"/>
            <w:bottom w:w="0" w:type="dxa"/>
            <w:right w:w="108" w:type="dxa"/>
          </w:tblCellMar>
        </w:tblPrEx>
        <w:trPr>
          <w:trHeight w:val="300"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部门（科目）代码z</w:t>
            </w:r>
          </w:p>
        </w:tc>
        <w:tc>
          <w:tcPr>
            <w:tcW w:w="1878" w:type="dxa"/>
            <w:vMerge w:val="restar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部门（科目）名称</w:t>
            </w:r>
          </w:p>
        </w:tc>
        <w:tc>
          <w:tcPr>
            <w:tcW w:w="1386" w:type="dxa"/>
            <w:vMerge w:val="restar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合计</w:t>
            </w:r>
          </w:p>
        </w:tc>
        <w:tc>
          <w:tcPr>
            <w:tcW w:w="14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基本支出</w:t>
            </w:r>
          </w:p>
        </w:tc>
        <w:tc>
          <w:tcPr>
            <w:tcW w:w="122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项目支出</w:t>
            </w:r>
          </w:p>
        </w:tc>
        <w:tc>
          <w:tcPr>
            <w:tcW w:w="1436" w:type="dxa"/>
            <w:tcBorders>
              <w:top w:val="single" w:color="auto" w:sz="4" w:space="0"/>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增减变化原因</w:t>
            </w:r>
          </w:p>
        </w:tc>
      </w:tr>
      <w:tr>
        <w:tblPrEx>
          <w:tblLayout w:type="fixed"/>
          <w:tblCellMar>
            <w:top w:w="0" w:type="dxa"/>
            <w:left w:w="108" w:type="dxa"/>
            <w:bottom w:w="0" w:type="dxa"/>
            <w:right w:w="108" w:type="dxa"/>
          </w:tblCellMar>
        </w:tblPrEx>
        <w:trPr>
          <w:trHeight w:val="46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87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38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4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人员经费支出</w:t>
            </w:r>
          </w:p>
        </w:tc>
        <w:tc>
          <w:tcPr>
            <w:tcW w:w="12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公用经费支出</w:t>
            </w:r>
          </w:p>
        </w:tc>
        <w:tc>
          <w:tcPr>
            <w:tcW w:w="13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业务经费</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300" w:hRule="atLeast"/>
        </w:trPr>
        <w:tc>
          <w:tcPr>
            <w:tcW w:w="846"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878"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386"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1=2+3+4+5</w:t>
            </w:r>
          </w:p>
        </w:tc>
        <w:tc>
          <w:tcPr>
            <w:tcW w:w="1496"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226"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386"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1436" w:type="dxa"/>
            <w:tcBorders>
              <w:top w:val="nil"/>
              <w:left w:val="nil"/>
              <w:bottom w:val="nil"/>
              <w:right w:val="single" w:color="auto" w:sz="4" w:space="0"/>
            </w:tcBorders>
          </w:tcPr>
          <w:p>
            <w:pPr>
              <w:widowControl/>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300"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78"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合计</w:t>
            </w:r>
          </w:p>
        </w:tc>
        <w:tc>
          <w:tcPr>
            <w:tcW w:w="1386"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46,382,222.06</w:t>
            </w:r>
          </w:p>
        </w:tc>
        <w:tc>
          <w:tcPr>
            <w:tcW w:w="1496"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12,264,348.62</w:t>
            </w:r>
          </w:p>
        </w:tc>
        <w:tc>
          <w:tcPr>
            <w:tcW w:w="1226"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718,032.00</w:t>
            </w:r>
          </w:p>
        </w:tc>
        <w:tc>
          <w:tcPr>
            <w:tcW w:w="1386"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33,399,841.44</w:t>
            </w:r>
          </w:p>
        </w:tc>
        <w:tc>
          <w:tcPr>
            <w:tcW w:w="1436" w:type="dxa"/>
            <w:tcBorders>
              <w:top w:val="single" w:color="auto" w:sz="4" w:space="0"/>
              <w:left w:val="nil"/>
              <w:bottom w:val="single" w:color="auto" w:sz="4" w:space="0"/>
              <w:right w:val="single" w:color="auto" w:sz="4" w:space="0"/>
            </w:tcBorders>
          </w:tcPr>
          <w:p>
            <w:pPr>
              <w:widowControl/>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300"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063</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未央区张家堡街道</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46,382,222.06</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12,264,348.62</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718,032.00</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33,399,841.44</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保洁员、城管执法人员报酬、社区人员报酬纳入预算</w:t>
            </w:r>
          </w:p>
        </w:tc>
      </w:tr>
      <w:tr>
        <w:tblPrEx>
          <w:tblLayout w:type="fixed"/>
        </w:tblPrEx>
        <w:trPr>
          <w:trHeight w:val="300"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201</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一般公共服务支出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3,748,388.30</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3,525,694.46</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222,693.84</w:t>
            </w:r>
          </w:p>
        </w:tc>
        <w:tc>
          <w:tcPr>
            <w:tcW w:w="138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基本持平</w:t>
            </w:r>
          </w:p>
        </w:tc>
      </w:tr>
      <w:tr>
        <w:tblPrEx>
          <w:tblLayout w:type="fixed"/>
          <w:tblCellMar>
            <w:top w:w="0" w:type="dxa"/>
            <w:left w:w="108" w:type="dxa"/>
            <w:bottom w:w="0" w:type="dxa"/>
            <w:right w:w="108" w:type="dxa"/>
          </w:tblCellMar>
        </w:tblPrEx>
        <w:trPr>
          <w:trHeight w:val="300"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20103</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政府办公厅（室）及相关机构事务</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3,748,388.30</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3,525,694.46</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222,693.84</w:t>
            </w:r>
          </w:p>
        </w:tc>
        <w:tc>
          <w:tcPr>
            <w:tcW w:w="138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基本持平</w:t>
            </w:r>
          </w:p>
        </w:tc>
      </w:tr>
      <w:tr>
        <w:tblPrEx>
          <w:tblLayout w:type="fixed"/>
          <w:tblCellMar>
            <w:top w:w="0" w:type="dxa"/>
            <w:left w:w="108" w:type="dxa"/>
            <w:bottom w:w="0" w:type="dxa"/>
            <w:right w:w="108" w:type="dxa"/>
          </w:tblCellMar>
        </w:tblPrEx>
        <w:trPr>
          <w:trHeight w:val="300"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2010301</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行政运行（政府办公厅（室）及相关机构事务）</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3,748,388.30</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3,525,694.46</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222,693.84</w:t>
            </w:r>
          </w:p>
        </w:tc>
        <w:tc>
          <w:tcPr>
            <w:tcW w:w="138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基本持平</w:t>
            </w:r>
          </w:p>
        </w:tc>
      </w:tr>
      <w:tr>
        <w:tblPrEx>
          <w:tblLayout w:type="fixed"/>
          <w:tblCellMar>
            <w:top w:w="0" w:type="dxa"/>
            <w:left w:w="108" w:type="dxa"/>
            <w:bottom w:w="0" w:type="dxa"/>
            <w:right w:w="108" w:type="dxa"/>
          </w:tblCellMar>
        </w:tblPrEx>
        <w:trPr>
          <w:trHeight w:val="300"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203</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国防支出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150,000.00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150,000.00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新增民兵整组工作经费</w:t>
            </w:r>
          </w:p>
        </w:tc>
      </w:tr>
      <w:tr>
        <w:tblPrEx>
          <w:tblLayout w:type="fixed"/>
          <w:tblCellMar>
            <w:top w:w="0" w:type="dxa"/>
            <w:left w:w="108" w:type="dxa"/>
            <w:bottom w:w="0" w:type="dxa"/>
            <w:right w:w="108" w:type="dxa"/>
          </w:tblCellMar>
        </w:tblPrEx>
        <w:trPr>
          <w:trHeight w:val="300"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20399</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其他国防支出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150,000.00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150,000.00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新增民兵整组工作经费</w:t>
            </w:r>
          </w:p>
        </w:tc>
      </w:tr>
      <w:tr>
        <w:tblPrEx>
          <w:tblLayout w:type="fixed"/>
          <w:tblCellMar>
            <w:top w:w="0" w:type="dxa"/>
            <w:left w:w="108" w:type="dxa"/>
            <w:bottom w:w="0" w:type="dxa"/>
            <w:right w:w="108" w:type="dxa"/>
          </w:tblCellMar>
        </w:tblPrEx>
        <w:trPr>
          <w:trHeight w:val="300"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2039901</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其他国防支出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150,000.00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150,000.00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新增民兵整组工作经费</w:t>
            </w:r>
          </w:p>
        </w:tc>
      </w:tr>
      <w:tr>
        <w:tblPrEx>
          <w:tblLayout w:type="fixed"/>
        </w:tblPrEx>
        <w:trPr>
          <w:trHeight w:val="300"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204</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公共安全支出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1,974,056.26</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1,867,073.54</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106,982.72</w:t>
            </w:r>
          </w:p>
        </w:tc>
        <w:tc>
          <w:tcPr>
            <w:tcW w:w="138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300"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20406</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司法</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1,974,056.26</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1,867,073.54</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106,982.72</w:t>
            </w:r>
          </w:p>
        </w:tc>
        <w:tc>
          <w:tcPr>
            <w:tcW w:w="138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300"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2040604</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基层司法业务</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1,974,056.26</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1,867,073.54</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106,982.72</w:t>
            </w:r>
          </w:p>
        </w:tc>
        <w:tc>
          <w:tcPr>
            <w:tcW w:w="138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208</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社会保障和就业支出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12,902,523.96</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5,009,605.96</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281,468.00</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7,611,450.00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社区报酬纳入街办预算</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20801</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人力资源和社会保障管理事务</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2,784,949.74</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2,636,154.54</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148,795.20</w:t>
            </w:r>
          </w:p>
        </w:tc>
        <w:tc>
          <w:tcPr>
            <w:tcW w:w="138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基本持平</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2080105</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劳动保障监察</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2,784,949.74</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2,636,154.54</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148,795.20</w:t>
            </w:r>
          </w:p>
        </w:tc>
        <w:tc>
          <w:tcPr>
            <w:tcW w:w="138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基本持平</w:t>
            </w:r>
          </w:p>
        </w:tc>
      </w:tr>
      <w:tr>
        <w:tblPrEx>
          <w:tblLayout w:type="fixed"/>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20802</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民政管理事务</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10,117,574.22</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2,373,451.42</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132,672.80</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7,611,450.00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社区报酬纳入街办预算</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2080208</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基层政权和社区建设</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10,117,574.22</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2,373,451.42</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132,672.80</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7,611,450.00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社区报酬纳入街办预算</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210</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医疗卫生与计划生育支出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2,746,862.10</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1,861,974.66</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106,887.44</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778,000.00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独生子女补助费上调</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21007</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计划生育事务</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2,746,862.10</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1,861,974.66</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106,887.44</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778,000.00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独生子女补助费上调</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2100799</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其他计划生育事务支出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2,746,862.10</w:t>
            </w:r>
          </w:p>
        </w:tc>
        <w:tc>
          <w:tcPr>
            <w:tcW w:w="149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1,861,974.66</w:t>
            </w:r>
          </w:p>
        </w:tc>
        <w:tc>
          <w:tcPr>
            <w:tcW w:w="122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106,887.44</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778,000.00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独生子女补助费上调</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211</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节能环保支出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785,600.00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785,600.00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新增项目</w:t>
            </w:r>
          </w:p>
        </w:tc>
      </w:tr>
      <w:tr>
        <w:tblPrEx>
          <w:tblLayout w:type="fixed"/>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21102</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环境监测与监察</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230,000.00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230,000.00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新增工地监测项目</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2110299</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其他环境监测与监察支出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230,000.00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230,000.00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新增工地监测项目</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21103</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污染防治</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555,600.00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555,600.00</w:t>
            </w:r>
          </w:p>
        </w:tc>
        <w:tc>
          <w:tcPr>
            <w:tcW w:w="1436" w:type="dxa"/>
            <w:tcBorders>
              <w:top w:val="nil"/>
              <w:left w:val="nil"/>
              <w:bottom w:val="single" w:color="auto" w:sz="4" w:space="0"/>
              <w:right w:val="single" w:color="auto" w:sz="4" w:space="0"/>
            </w:tcBorders>
          </w:tcPr>
          <w:p>
            <w:pPr>
              <w:widowControl/>
              <w:ind w:right="90"/>
              <w:jc w:val="left"/>
              <w:rPr>
                <w:rFonts w:ascii="宋体" w:hAnsi="宋体" w:eastAsia="宋体" w:cs="宋体"/>
                <w:kern w:val="0"/>
                <w:sz w:val="18"/>
                <w:szCs w:val="18"/>
              </w:rPr>
            </w:pPr>
            <w:r>
              <w:rPr>
                <w:rFonts w:hint="eastAsia" w:ascii="宋体" w:hAnsi="宋体" w:eastAsia="宋体" w:cs="宋体"/>
                <w:kern w:val="0"/>
                <w:sz w:val="18"/>
                <w:szCs w:val="18"/>
              </w:rPr>
              <w:t>新增网格员奖补项目</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2110301</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大气</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129,600.00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129,600.00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新增网格员奖补项目</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2110304</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固体废弃物与化学品</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426,000.00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426,000.00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基本持平</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212</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城乡社区支出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23,928,351.44</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23,928,351.44</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保洁员、城管执法人员报酬、纳入预算</w:t>
            </w:r>
          </w:p>
        </w:tc>
      </w:tr>
      <w:tr>
        <w:tblPrEx>
          <w:tblLayout w:type="fixed"/>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21201</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城乡社区管理事务</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23,928,351.44</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23,928,351.44</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保洁员、城管执法人员报酬、纳入预算</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2120199</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其他城乡社区管理事务支出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23,928,351.44</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23,928,351.44</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洁员、城管执法人员报酬、纳入预算</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213</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农林水支出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146,440.00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146,440.00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基本持平</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21307</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农村综合改革</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146,440.00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146,440.00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基本持平</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2130705</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对村民委员会和村党支部的补助</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25,000.00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25,000.00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基本持平</w:t>
            </w:r>
          </w:p>
        </w:tc>
      </w:tr>
      <w:tr>
        <w:tblPrEx>
          <w:tblLayout w:type="fixed"/>
          <w:tblCellMar>
            <w:top w:w="0" w:type="dxa"/>
            <w:left w:w="108" w:type="dxa"/>
            <w:bottom w:w="0" w:type="dxa"/>
            <w:right w:w="108" w:type="dxa"/>
          </w:tblCellMar>
        </w:tblPrEx>
        <w:trPr>
          <w:trHeight w:val="255" w:hRule="atLeast"/>
        </w:trPr>
        <w:tc>
          <w:tcPr>
            <w:tcW w:w="846"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2130799</w:t>
            </w:r>
          </w:p>
        </w:tc>
        <w:tc>
          <w:tcPr>
            <w:tcW w:w="187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其他农村综合改革支出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121,440.00</w:t>
            </w:r>
          </w:p>
        </w:tc>
        <w:tc>
          <w:tcPr>
            <w:tcW w:w="149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121,440.00</w:t>
            </w:r>
          </w:p>
        </w:tc>
        <w:tc>
          <w:tcPr>
            <w:tcW w:w="1436" w:type="dxa"/>
            <w:tcBorders>
              <w:top w:val="nil"/>
              <w:left w:val="nil"/>
              <w:bottom w:val="single" w:color="auto" w:sz="4" w:space="0"/>
              <w:right w:val="single" w:color="auto" w:sz="4" w:space="0"/>
            </w:tcBorders>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基本持平</w:t>
            </w:r>
          </w:p>
        </w:tc>
      </w:tr>
    </w:tbl>
    <w:p>
      <w:pPr>
        <w:widowControl/>
        <w:tabs>
          <w:tab w:val="left" w:pos="6237"/>
        </w:tabs>
        <w:spacing w:line="560" w:lineRule="exact"/>
        <w:ind w:right="1216" w:rightChars="380" w:firstLine="640" w:firstLineChars="200"/>
        <w:rPr>
          <w:rFonts w:ascii="仿宋_GB2312" w:hAnsi="仿宋_GB2312" w:eastAsia="仿宋_GB2312" w:cs="宋体"/>
          <w:kern w:val="0"/>
          <w:szCs w:val="32"/>
        </w:rPr>
      </w:pPr>
    </w:p>
    <w:p>
      <w:pPr>
        <w:widowControl/>
        <w:numPr>
          <w:ilvl w:val="0"/>
          <w:numId w:val="3"/>
        </w:numPr>
        <w:spacing w:line="560" w:lineRule="exact"/>
        <w:ind w:firstLine="643" w:firstLineChars="200"/>
        <w:rPr>
          <w:rFonts w:ascii="仿宋_GB2312" w:hAnsi="仿宋_GB2312" w:eastAsia="仿宋_GB2312" w:cs="宋体"/>
          <w:b/>
          <w:bCs/>
          <w:kern w:val="0"/>
          <w:szCs w:val="32"/>
        </w:rPr>
      </w:pPr>
      <w:r>
        <w:rPr>
          <w:rFonts w:hint="eastAsia" w:ascii="仿宋_GB2312" w:hAnsi="仿宋_GB2312" w:eastAsia="仿宋_GB2312" w:cs="宋体"/>
          <w:b/>
          <w:bCs/>
          <w:kern w:val="0"/>
          <w:szCs w:val="32"/>
        </w:rPr>
        <w:t>支出按经济科目分类的明细情况</w:t>
      </w:r>
    </w:p>
    <w:tbl>
      <w:tblPr>
        <w:tblStyle w:val="7"/>
        <w:tblW w:w="9923" w:type="dxa"/>
        <w:tblInd w:w="-743" w:type="dxa"/>
        <w:tblLayout w:type="fixed"/>
        <w:tblCellMar>
          <w:top w:w="0" w:type="dxa"/>
          <w:left w:w="108" w:type="dxa"/>
          <w:bottom w:w="0" w:type="dxa"/>
          <w:right w:w="108" w:type="dxa"/>
        </w:tblCellMar>
      </w:tblPr>
      <w:tblGrid>
        <w:gridCol w:w="851"/>
        <w:gridCol w:w="1843"/>
        <w:gridCol w:w="1386"/>
        <w:gridCol w:w="1566"/>
        <w:gridCol w:w="1476"/>
        <w:gridCol w:w="1566"/>
        <w:gridCol w:w="1235"/>
      </w:tblGrid>
      <w:tr>
        <w:tblPrEx>
          <w:tblLayout w:type="fixed"/>
          <w:tblCellMar>
            <w:top w:w="0" w:type="dxa"/>
            <w:left w:w="108" w:type="dxa"/>
            <w:bottom w:w="0" w:type="dxa"/>
            <w:right w:w="108" w:type="dxa"/>
          </w:tblCellMar>
        </w:tblPrEx>
        <w:trPr>
          <w:trHeight w:val="300" w:hRule="atLeast"/>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部门（科目）代码</w:t>
            </w:r>
          </w:p>
        </w:tc>
        <w:tc>
          <w:tcPr>
            <w:tcW w:w="1843" w:type="dxa"/>
            <w:vMerge w:val="restart"/>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部门（科目）名称</w:t>
            </w:r>
          </w:p>
        </w:tc>
        <w:tc>
          <w:tcPr>
            <w:tcW w:w="13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合计</w:t>
            </w:r>
          </w:p>
        </w:tc>
        <w:tc>
          <w:tcPr>
            <w:tcW w:w="156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基本支出</w:t>
            </w:r>
          </w:p>
        </w:tc>
        <w:tc>
          <w:tcPr>
            <w:tcW w:w="1476"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项目支出</w:t>
            </w:r>
          </w:p>
        </w:tc>
        <w:tc>
          <w:tcPr>
            <w:tcW w:w="12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增减变化原因</w:t>
            </w:r>
          </w:p>
        </w:tc>
      </w:tr>
      <w:tr>
        <w:tblPrEx>
          <w:tblLayout w:type="fixed"/>
          <w:tblCellMar>
            <w:top w:w="0" w:type="dxa"/>
            <w:left w:w="108" w:type="dxa"/>
            <w:bottom w:w="0" w:type="dxa"/>
            <w:right w:w="108" w:type="dxa"/>
          </w:tblCellMar>
        </w:tblPrEx>
        <w:trPr>
          <w:trHeight w:val="465"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843" w:type="dxa"/>
            <w:vMerge w:val="continue"/>
            <w:tcBorders>
              <w:top w:val="single" w:color="auto" w:sz="4" w:space="0"/>
              <w:left w:val="nil"/>
              <w:bottom w:val="single" w:color="auto" w:sz="4" w:space="0"/>
              <w:right w:val="nil"/>
            </w:tcBorders>
            <w:vAlign w:val="center"/>
          </w:tcPr>
          <w:p>
            <w:pPr>
              <w:widowControl/>
              <w:jc w:val="left"/>
              <w:rPr>
                <w:rFonts w:ascii="宋体" w:hAnsi="宋体" w:eastAsia="宋体" w:cs="宋体"/>
                <w:kern w:val="0"/>
                <w:sz w:val="18"/>
                <w:szCs w:val="18"/>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15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人员经费支出</w:t>
            </w:r>
          </w:p>
        </w:tc>
        <w:tc>
          <w:tcPr>
            <w:tcW w:w="14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公用经费支出</w:t>
            </w:r>
          </w:p>
        </w:tc>
        <w:tc>
          <w:tcPr>
            <w:tcW w:w="15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业务经费</w:t>
            </w:r>
          </w:p>
        </w:tc>
        <w:tc>
          <w:tcPr>
            <w:tcW w:w="12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300" w:hRule="atLeast"/>
        </w:trPr>
        <w:tc>
          <w:tcPr>
            <w:tcW w:w="851"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843"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1386"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1=2+3+4+5</w:t>
            </w:r>
          </w:p>
        </w:tc>
        <w:tc>
          <w:tcPr>
            <w:tcW w:w="1566"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476"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566"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1235" w:type="dxa"/>
            <w:tcBorders>
              <w:top w:val="nil"/>
              <w:left w:val="nil"/>
              <w:bottom w:val="nil"/>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合计</w:t>
            </w:r>
          </w:p>
        </w:tc>
        <w:tc>
          <w:tcPr>
            <w:tcW w:w="1386"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46,382,222.06</w:t>
            </w:r>
          </w:p>
        </w:tc>
        <w:tc>
          <w:tcPr>
            <w:tcW w:w="1566"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12,264,348.62</w:t>
            </w:r>
          </w:p>
        </w:tc>
        <w:tc>
          <w:tcPr>
            <w:tcW w:w="1476"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718,032.00</w:t>
            </w:r>
          </w:p>
        </w:tc>
        <w:tc>
          <w:tcPr>
            <w:tcW w:w="1566" w:type="dxa"/>
            <w:tcBorders>
              <w:top w:val="single" w:color="auto" w:sz="4" w:space="0"/>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33,399,841.44</w:t>
            </w:r>
          </w:p>
        </w:tc>
        <w:tc>
          <w:tcPr>
            <w:tcW w:w="1235"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30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063</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未央区张家堡街道</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46,382,222.06</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12,264,348.62</w:t>
            </w:r>
          </w:p>
        </w:tc>
        <w:tc>
          <w:tcPr>
            <w:tcW w:w="147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718,032.00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33,399,841.44</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PrEx>
        <w:trPr>
          <w:trHeight w:val="30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301</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工资福利支出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11,853,161.08</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11,853,161.08</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ind w:right="-13" w:rightChars="-4"/>
              <w:jc w:val="left"/>
              <w:rPr>
                <w:rFonts w:ascii="宋体" w:hAnsi="宋体" w:eastAsia="宋体" w:cs="宋体"/>
                <w:kern w:val="0"/>
                <w:sz w:val="18"/>
                <w:szCs w:val="18"/>
              </w:rPr>
            </w:pPr>
            <w:r>
              <w:rPr>
                <w:rFonts w:hint="eastAsia" w:ascii="宋体" w:hAnsi="宋体" w:eastAsia="宋体" w:cs="宋体"/>
                <w:kern w:val="0"/>
                <w:sz w:val="18"/>
                <w:szCs w:val="18"/>
              </w:rPr>
              <w:t>　人员增员、工资上调</w:t>
            </w:r>
          </w:p>
        </w:tc>
      </w:tr>
      <w:tr>
        <w:tblPrEx>
          <w:tblLayout w:type="fixed"/>
          <w:tblCellMar>
            <w:top w:w="0" w:type="dxa"/>
            <w:left w:w="108" w:type="dxa"/>
            <w:bottom w:w="0" w:type="dxa"/>
            <w:right w:w="108" w:type="dxa"/>
          </w:tblCellMar>
        </w:tblPrEx>
        <w:trPr>
          <w:trHeight w:val="30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30101</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基本工资</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3,406,975.00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3,406,975.00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人员增员、工资上调</w:t>
            </w:r>
          </w:p>
        </w:tc>
      </w:tr>
      <w:tr>
        <w:tblPrEx>
          <w:tblLayout w:type="fixed"/>
          <w:tblCellMar>
            <w:top w:w="0" w:type="dxa"/>
            <w:left w:w="108" w:type="dxa"/>
            <w:bottom w:w="0" w:type="dxa"/>
            <w:right w:w="108" w:type="dxa"/>
          </w:tblCellMar>
        </w:tblPrEx>
        <w:trPr>
          <w:trHeight w:val="30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30102</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津贴补贴</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2,366,460.00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2,366,460.00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人员增员、工资上调</w:t>
            </w:r>
          </w:p>
        </w:tc>
      </w:tr>
      <w:tr>
        <w:tblPrEx>
          <w:tblLayout w:type="fixed"/>
          <w:tblCellMar>
            <w:top w:w="0" w:type="dxa"/>
            <w:left w:w="108" w:type="dxa"/>
            <w:bottom w:w="0" w:type="dxa"/>
            <w:right w:w="108" w:type="dxa"/>
          </w:tblCellMar>
        </w:tblPrEx>
        <w:trPr>
          <w:trHeight w:val="30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30103</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奖金</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3,834,186.00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3,834,186.00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人员增员、工资上调</w:t>
            </w:r>
          </w:p>
        </w:tc>
      </w:tr>
      <w:tr>
        <w:tblPrEx>
          <w:tblLayout w:type="fixed"/>
          <w:tblCellMar>
            <w:top w:w="0" w:type="dxa"/>
            <w:left w:w="108" w:type="dxa"/>
            <w:bottom w:w="0" w:type="dxa"/>
            <w:right w:w="108" w:type="dxa"/>
          </w:tblCellMar>
        </w:tblPrEx>
        <w:trPr>
          <w:trHeight w:val="30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30108</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机关事业单位基本养老保险缴费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1,056,780.00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1,056,780.00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人员增员、工资上调</w:t>
            </w:r>
          </w:p>
        </w:tc>
      </w:tr>
      <w:tr>
        <w:tblPrEx>
          <w:tblLayout w:type="fixed"/>
          <w:tblCellMar>
            <w:top w:w="0" w:type="dxa"/>
            <w:left w:w="108" w:type="dxa"/>
            <w:bottom w:w="0" w:type="dxa"/>
            <w:right w:w="108" w:type="dxa"/>
          </w:tblCellMar>
        </w:tblPrEx>
        <w:trPr>
          <w:trHeight w:val="30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30109</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职业年金缴费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422,728.08</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422,728.08</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人员增员、工资上调</w:t>
            </w:r>
          </w:p>
        </w:tc>
      </w:tr>
      <w:tr>
        <w:tblPrEx>
          <w:tblLayout w:type="fixed"/>
        </w:tblPrEx>
        <w:trPr>
          <w:trHeight w:val="30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30110</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职工基本医疗保险缴费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204,948.00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204,948.00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人员增员、工资上调</w:t>
            </w:r>
          </w:p>
        </w:tc>
      </w:tr>
      <w:tr>
        <w:tblPrEx>
          <w:tblLayout w:type="fixed"/>
          <w:tblCellMar>
            <w:top w:w="0" w:type="dxa"/>
            <w:left w:w="108" w:type="dxa"/>
            <w:bottom w:w="0" w:type="dxa"/>
            <w:right w:w="108" w:type="dxa"/>
          </w:tblCellMar>
        </w:tblPrEx>
        <w:trPr>
          <w:trHeight w:val="30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30113</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住房公积金</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561,084.00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561,084.00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人员增员、工资上调</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商品和服务支出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24,316,223.44</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189,240.00</w:t>
            </w:r>
          </w:p>
        </w:tc>
        <w:tc>
          <w:tcPr>
            <w:tcW w:w="147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718,032.00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23,408,951.44</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新增机关、社区改造项目</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30201</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办公费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1,569,000.00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384,000.00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1,185,000.00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30202</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印刷费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110,000.00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110,000.00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30205</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水费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30206</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电费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340,000.00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30208</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取暖费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64,000.00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64,000.00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30211</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差旅费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30213</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维修(护)费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机关修缮</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30215</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会议费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50,000.00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30216</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培训费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280,000.00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280,000.00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机关干部培训</w:t>
            </w:r>
          </w:p>
        </w:tc>
      </w:tr>
      <w:tr>
        <w:tblPrEx>
          <w:tblLayout w:type="fixed"/>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30217</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公务接待费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16,000.00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16,000.00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30226</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劳务费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17,578,351.44</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17,578,351.44</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30227</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委托业务费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临聘人员工资</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30228</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工会经费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424,032.00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124,032.00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人员增员</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30231</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公务用车运行维护费</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30239</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其他交通费用</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665,240.00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189,240.00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476,000.00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人员增员</w:t>
            </w:r>
          </w:p>
        </w:tc>
      </w:tr>
      <w:tr>
        <w:tblPrEx>
          <w:tblLayout w:type="fixed"/>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30299</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其他商品和服务支出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2,429,600.00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2,429,600.00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开展项目减少</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303</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对个人和家庭的补助</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8,072,837.54</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221,947.54</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7,850,890.00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社区报酬纳入预算</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30302</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退休费（养老统筹外项目）</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106,097.50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106,097.50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30304</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抚恤金</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6,650.04</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6,650.04</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30305</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生活补助</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150,840.00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29,400.00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121,440.00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基本持平</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30309</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奖励金</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783,400.00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5,400.00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778,000.00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独生子女补助费上调</w:t>
            </w:r>
          </w:p>
        </w:tc>
      </w:tr>
      <w:tr>
        <w:tblPrEx>
          <w:tblLayout w:type="fixed"/>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30399</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其他对个人和家庭的补助支出</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7,025,850.00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74,400.00</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6,951,450.00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社区报酬纳入预算</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310</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其他资本性支出（类）</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2,140,000.00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2,140,000.00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社区、机关修缮</w:t>
            </w:r>
          </w:p>
        </w:tc>
      </w:tr>
      <w:tr>
        <w:tblPrEx>
          <w:tblLayout w:type="fixed"/>
          <w:tblCellMar>
            <w:top w:w="0" w:type="dxa"/>
            <w:left w:w="108" w:type="dxa"/>
            <w:bottom w:w="0" w:type="dxa"/>
            <w:right w:w="108" w:type="dxa"/>
          </w:tblCellMar>
        </w:tblPrEx>
        <w:trPr>
          <w:trHeight w:val="255"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31006</w:t>
            </w:r>
          </w:p>
        </w:tc>
        <w:tc>
          <w:tcPr>
            <w:tcW w:w="184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大型修缮</w:t>
            </w:r>
          </w:p>
        </w:tc>
        <w:tc>
          <w:tcPr>
            <w:tcW w:w="138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2,140,000.00</w:t>
            </w:r>
          </w:p>
        </w:tc>
        <w:tc>
          <w:tcPr>
            <w:tcW w:w="156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7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66" w:type="dxa"/>
            <w:tcBorders>
              <w:top w:val="nil"/>
              <w:left w:val="nil"/>
              <w:bottom w:val="single" w:color="auto" w:sz="4" w:space="0"/>
              <w:right w:val="single" w:color="auto" w:sz="4" w:space="0"/>
            </w:tcBorders>
            <w:shd w:val="clear" w:color="auto" w:fill="auto"/>
            <w:noWrap/>
            <w:vAlign w:val="bottom"/>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2,140,000.00</w:t>
            </w:r>
          </w:p>
        </w:tc>
        <w:tc>
          <w:tcPr>
            <w:tcW w:w="12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　社区、机关修缮</w:t>
            </w:r>
          </w:p>
        </w:tc>
      </w:tr>
    </w:tbl>
    <w:p>
      <w:pPr>
        <w:widowControl/>
        <w:spacing w:line="560" w:lineRule="exact"/>
        <w:ind w:left="640"/>
        <w:rPr>
          <w:rFonts w:ascii="楷体_GB2312" w:hAnsi="楷体_GB2312" w:eastAsia="楷体_GB2312" w:cs="宋体"/>
          <w:kern w:val="0"/>
          <w:szCs w:val="32"/>
        </w:rPr>
      </w:pPr>
    </w:p>
    <w:p>
      <w:pPr>
        <w:widowControl/>
        <w:numPr>
          <w:ilvl w:val="0"/>
          <w:numId w:val="4"/>
        </w:numPr>
        <w:spacing w:line="560" w:lineRule="exact"/>
        <w:ind w:firstLine="640" w:firstLineChars="200"/>
        <w:rPr>
          <w:rFonts w:ascii="楷体_GB2312" w:hAnsi="楷体_GB2312" w:eastAsia="楷体_GB2312" w:cs="宋体"/>
          <w:kern w:val="0"/>
          <w:szCs w:val="32"/>
        </w:rPr>
      </w:pPr>
      <w:r>
        <w:rPr>
          <w:rFonts w:hint="eastAsia" w:ascii="楷体_GB2312" w:hAnsi="楷体_GB2312" w:eastAsia="楷体_GB2312" w:cs="宋体"/>
          <w:kern w:val="0"/>
          <w:szCs w:val="32"/>
        </w:rPr>
        <w:t>政府性基金预算支出情况</w:t>
      </w:r>
    </w:p>
    <w:p>
      <w:pPr>
        <w:widowControl/>
        <w:spacing w:line="560" w:lineRule="exact"/>
        <w:rPr>
          <w:rFonts w:ascii="仿宋_GB2312" w:hAnsi="仿宋_GB2312" w:eastAsia="仿宋_GB2312" w:cs="宋体"/>
          <w:kern w:val="0"/>
          <w:szCs w:val="32"/>
        </w:rPr>
      </w:pPr>
      <w:r>
        <w:rPr>
          <w:rFonts w:hint="eastAsia" w:ascii="仿宋_GB2312" w:hAnsi="仿宋_GB2312" w:eastAsia="仿宋_GB2312" w:cs="宋体"/>
          <w:kern w:val="0"/>
          <w:szCs w:val="32"/>
        </w:rPr>
        <w:t xml:space="preserve">    本部门无政府性基金预算收支，并已公开空表。</w:t>
      </w:r>
    </w:p>
    <w:p>
      <w:pPr>
        <w:widowControl/>
        <w:numPr>
          <w:ilvl w:val="0"/>
          <w:numId w:val="4"/>
        </w:numPr>
        <w:spacing w:line="560" w:lineRule="exact"/>
        <w:ind w:firstLine="640" w:firstLineChars="200"/>
        <w:rPr>
          <w:rFonts w:ascii="楷体_GB2312" w:hAnsi="楷体_GB2312" w:eastAsia="楷体_GB2312" w:cs="宋体"/>
          <w:kern w:val="0"/>
          <w:szCs w:val="32"/>
        </w:rPr>
      </w:pPr>
      <w:r>
        <w:rPr>
          <w:rFonts w:hint="eastAsia" w:ascii="楷体_GB2312" w:hAnsi="楷体_GB2312" w:eastAsia="楷体_GB2312" w:cs="宋体"/>
          <w:kern w:val="0"/>
          <w:szCs w:val="32"/>
        </w:rPr>
        <w:t>国有资本经营预算拨款收支情况</w:t>
      </w:r>
    </w:p>
    <w:p>
      <w:pPr>
        <w:widowControl/>
        <w:spacing w:line="560" w:lineRule="exact"/>
        <w:rPr>
          <w:rFonts w:ascii="仿宋_GB2312" w:hAnsi="仿宋_GB2312" w:eastAsia="仿宋_GB2312" w:cs="宋体"/>
          <w:kern w:val="0"/>
          <w:szCs w:val="32"/>
        </w:rPr>
      </w:pPr>
      <w:r>
        <w:rPr>
          <w:rFonts w:hint="eastAsia" w:ascii="仿宋_GB2312" w:hAnsi="仿宋_GB2312" w:eastAsia="仿宋_GB2312" w:cs="宋体"/>
          <w:kern w:val="0"/>
          <w:szCs w:val="32"/>
        </w:rPr>
        <w:t xml:space="preserve">    本部门无国有资本经营预算拨款收支。</w:t>
      </w:r>
    </w:p>
    <w:p>
      <w:pPr>
        <w:widowControl/>
        <w:spacing w:line="560" w:lineRule="exact"/>
        <w:ind w:firstLine="640" w:firstLineChars="200"/>
        <w:rPr>
          <w:rFonts w:ascii="楷体_GB2312" w:hAnsi="楷体_GB2312" w:eastAsia="楷体_GB2312" w:cs="宋体"/>
          <w:kern w:val="0"/>
          <w:szCs w:val="32"/>
        </w:rPr>
      </w:pPr>
      <w:r>
        <w:rPr>
          <w:rFonts w:hint="eastAsia" w:ascii="楷体_GB2312" w:hAnsi="楷体_GB2312" w:eastAsia="楷体_GB2312" w:cs="宋体"/>
          <w:kern w:val="0"/>
          <w:szCs w:val="32"/>
        </w:rPr>
        <w:t>（六）“三公”经费等预算情况。</w:t>
      </w:r>
    </w:p>
    <w:p>
      <w:pPr>
        <w:widowControl/>
        <w:spacing w:line="560" w:lineRule="exact"/>
        <w:ind w:firstLine="640" w:firstLineChars="200"/>
        <w:rPr>
          <w:rFonts w:ascii="仿宋_GB2312" w:hAnsi="仿宋_GB2312" w:eastAsia="仿宋_GB2312" w:cs="宋体"/>
          <w:kern w:val="0"/>
          <w:szCs w:val="32"/>
        </w:rPr>
      </w:pPr>
      <w:r>
        <w:rPr>
          <w:rFonts w:hint="eastAsia" w:ascii="仿宋_GB2312" w:hAnsi="仿宋_GB2312" w:eastAsia="仿宋_GB2312" w:cs="宋体"/>
          <w:kern w:val="0"/>
          <w:szCs w:val="32"/>
        </w:rPr>
        <w:t>本单位2018年“三公”经费预算6.6万元，其中公务接待费1.60万元，公务用车运行维护费5万元，与上年基本持平。</w:t>
      </w:r>
    </w:p>
    <w:p>
      <w:pPr>
        <w:widowControl/>
        <w:numPr>
          <w:ilvl w:val="0"/>
          <w:numId w:val="5"/>
        </w:numPr>
        <w:spacing w:line="560" w:lineRule="exact"/>
        <w:ind w:firstLine="640" w:firstLineChars="200"/>
        <w:rPr>
          <w:rFonts w:ascii="楷体_GB2312" w:hAnsi="楷体_GB2312" w:eastAsia="楷体_GB2312" w:cs="宋体"/>
          <w:bCs/>
          <w:kern w:val="0"/>
          <w:szCs w:val="32"/>
        </w:rPr>
      </w:pPr>
      <w:r>
        <w:rPr>
          <w:rFonts w:hint="eastAsia" w:ascii="楷体_GB2312" w:hAnsi="楷体_GB2312" w:eastAsia="楷体_GB2312" w:cs="宋体"/>
          <w:bCs/>
          <w:kern w:val="0"/>
          <w:szCs w:val="32"/>
        </w:rPr>
        <w:t>机关运行经费安排情况。</w:t>
      </w:r>
    </w:p>
    <w:p>
      <w:pPr>
        <w:widowControl/>
        <w:spacing w:line="560" w:lineRule="exact"/>
        <w:ind w:firstLine="660"/>
        <w:rPr>
          <w:rFonts w:ascii="仿宋_GB2312" w:hAnsi="仿宋_GB2312" w:eastAsia="仿宋_GB2312" w:cs="宋体"/>
          <w:kern w:val="0"/>
          <w:szCs w:val="32"/>
        </w:rPr>
      </w:pPr>
      <w:r>
        <w:rPr>
          <w:rFonts w:hint="eastAsia" w:ascii="仿宋_GB2312" w:hAnsi="仿宋_GB2312" w:eastAsia="仿宋_GB2312"/>
          <w:szCs w:val="32"/>
        </w:rPr>
        <w:t>“机关运行经费”是指一般公共预算拨款安排的基本支出中的日常公用经费，本单位2018年</w:t>
      </w:r>
      <w:r>
        <w:rPr>
          <w:rFonts w:hint="eastAsia" w:ascii="仿宋_GB2312" w:hAnsi="仿宋_GB2312" w:eastAsia="仿宋_GB2312" w:cs="宋体"/>
          <w:kern w:val="0"/>
          <w:szCs w:val="32"/>
        </w:rPr>
        <w:t>机关运行经费安排</w:t>
      </w:r>
      <w:r>
        <w:rPr>
          <w:rFonts w:hint="eastAsia" w:ascii="仿宋_GB2312" w:hAnsi="仿宋_GB2312" w:eastAsia="仿宋_GB2312"/>
          <w:szCs w:val="32"/>
        </w:rPr>
        <w:t>71.80万元，主要安排用于本单位办公费38.4万元，水费4万元，电费4万元，取暖费6.4万元，公务接待费1.60万元，工会经费12.40万元，公务车运行维护费5万元。</w:t>
      </w:r>
      <w:r>
        <w:rPr>
          <w:rFonts w:hint="eastAsia" w:ascii="仿宋_GB2312" w:hAnsi="仿宋_GB2312" w:eastAsia="仿宋_GB2312" w:cs="宋体"/>
          <w:kern w:val="0"/>
          <w:szCs w:val="32"/>
        </w:rPr>
        <w:t>较上年预算下降</w:t>
      </w:r>
      <w:r>
        <w:rPr>
          <w:rFonts w:hint="eastAsia" w:ascii="仿宋_GB2312" w:hAnsi="仿宋_GB2312" w:eastAsia="仿宋_GB2312"/>
          <w:szCs w:val="32"/>
        </w:rPr>
        <w:t>27</w:t>
      </w:r>
      <w:r>
        <w:rPr>
          <w:rFonts w:hint="eastAsia" w:ascii="仿宋_GB2312" w:hAnsi="仿宋_GB2312" w:eastAsia="仿宋_GB2312" w:cs="宋体"/>
          <w:kern w:val="0"/>
          <w:szCs w:val="32"/>
        </w:rPr>
        <w:t>%，增减变动较大的原因是</w:t>
      </w:r>
      <w:r>
        <w:rPr>
          <w:rFonts w:hint="eastAsia" w:ascii="仿宋_GB2312" w:hAnsi="仿宋_GB2312" w:eastAsia="仿宋_GB2312"/>
          <w:szCs w:val="32"/>
        </w:rPr>
        <w:t>人员减少，人均公用经费减少</w:t>
      </w:r>
      <w:r>
        <w:rPr>
          <w:rFonts w:hint="eastAsia" w:ascii="仿宋_GB2312" w:hAnsi="仿宋_GB2312" w:eastAsia="仿宋_GB2312" w:cs="宋体"/>
          <w:kern w:val="0"/>
          <w:szCs w:val="32"/>
        </w:rPr>
        <w:t>。</w:t>
      </w:r>
    </w:p>
    <w:p>
      <w:pPr>
        <w:widowControl/>
        <w:numPr>
          <w:ilvl w:val="0"/>
          <w:numId w:val="5"/>
        </w:numPr>
        <w:spacing w:line="560" w:lineRule="exact"/>
        <w:ind w:firstLine="640" w:firstLineChars="200"/>
        <w:jc w:val="left"/>
        <w:rPr>
          <w:rFonts w:ascii="楷体_GB2312" w:hAnsi="楷体_GB2312" w:eastAsia="楷体_GB2312" w:cs="宋体"/>
          <w:bCs/>
          <w:kern w:val="0"/>
          <w:szCs w:val="32"/>
        </w:rPr>
      </w:pPr>
      <w:r>
        <w:rPr>
          <w:rFonts w:hint="eastAsia" w:ascii="楷体_GB2312" w:hAnsi="楷体_GB2312" w:eastAsia="楷体_GB2312" w:cs="宋体"/>
          <w:bCs/>
          <w:kern w:val="0"/>
          <w:szCs w:val="32"/>
        </w:rPr>
        <w:t>政府采购情况。</w:t>
      </w:r>
    </w:p>
    <w:p>
      <w:pPr>
        <w:widowControl/>
        <w:spacing w:line="560" w:lineRule="exact"/>
        <w:ind w:firstLine="640" w:firstLineChars="200"/>
        <w:jc w:val="left"/>
        <w:rPr>
          <w:rFonts w:ascii="仿宋_GB2312" w:hAnsi="仿宋_GB2312" w:eastAsia="仿宋_GB2312"/>
          <w:szCs w:val="32"/>
        </w:rPr>
      </w:pPr>
      <w:r>
        <w:rPr>
          <w:rFonts w:hint="eastAsia" w:ascii="仿宋_GB2312" w:hAnsi="仿宋_GB2312" w:eastAsia="仿宋_GB2312"/>
          <w:szCs w:val="32"/>
        </w:rPr>
        <w:t>2018年本部门政府采购预算共889.53万元，其中政府采购货物类预算100万元、政府采购服务类预算204万元、政府采购工程类预算585.53万元。</w:t>
      </w:r>
    </w:p>
    <w:p>
      <w:pPr>
        <w:widowControl/>
        <w:spacing w:line="560" w:lineRule="exact"/>
        <w:ind w:firstLine="640" w:firstLineChars="200"/>
        <w:jc w:val="left"/>
        <w:rPr>
          <w:rFonts w:ascii="黑体" w:hAnsi="黑体" w:eastAsia="黑体" w:cs="宋体"/>
          <w:kern w:val="0"/>
          <w:szCs w:val="32"/>
        </w:rPr>
      </w:pPr>
      <w:r>
        <w:rPr>
          <w:rFonts w:hint="eastAsia" w:ascii="黑体" w:hAnsi="黑体" w:eastAsia="黑体" w:cs="宋体"/>
          <w:kern w:val="0"/>
          <w:szCs w:val="32"/>
        </w:rPr>
        <w:t>八、专业名词解释</w:t>
      </w:r>
    </w:p>
    <w:p>
      <w:pPr>
        <w:widowControl/>
        <w:spacing w:line="560" w:lineRule="exact"/>
        <w:rPr>
          <w:rFonts w:ascii="仿宋_GB2312" w:hAnsi="仿宋_GB2312" w:eastAsia="仿宋_GB2312"/>
          <w:szCs w:val="21"/>
        </w:rPr>
      </w:pPr>
      <w:r>
        <w:rPr>
          <w:rFonts w:hint="eastAsia" w:ascii="仿宋_GB2312" w:hAnsi="仿宋_GB2312" w:eastAsia="仿宋_GB2312"/>
          <w:bCs/>
          <w:szCs w:val="21"/>
        </w:rPr>
        <w:t xml:space="preserve">   </w:t>
      </w:r>
      <w:r>
        <w:rPr>
          <w:rFonts w:hint="eastAsia" w:ascii="楷体_GB2312" w:hAnsi="楷体_GB2312" w:eastAsia="楷体_GB2312"/>
          <w:bCs/>
          <w:szCs w:val="21"/>
        </w:rPr>
        <w:t xml:space="preserve"> （一）一般公共预算。</w:t>
      </w:r>
      <w:r>
        <w:rPr>
          <w:rFonts w:hint="eastAsia" w:ascii="仿宋_GB2312" w:hAnsi="仿宋_GB2312" w:eastAsia="仿宋_GB2312"/>
          <w:szCs w:val="21"/>
        </w:rPr>
        <w:t>一般公共预算是对以税收为主体的财政收入，安排用于保障和改善民生、推动经济社会发展、维护国家安全、维持国家机构正常运转等方面的收支预算。</w:t>
      </w:r>
    </w:p>
    <w:p>
      <w:pPr>
        <w:widowControl/>
        <w:spacing w:line="560" w:lineRule="exact"/>
        <w:ind w:firstLine="640" w:firstLineChars="200"/>
        <w:rPr>
          <w:rFonts w:ascii="仿宋_GB2312" w:hAnsi="仿宋_GB2312" w:eastAsia="仿宋_GB2312"/>
          <w:szCs w:val="21"/>
        </w:rPr>
      </w:pPr>
      <w:r>
        <w:rPr>
          <w:rFonts w:hint="eastAsia" w:ascii="楷体_GB2312" w:hAnsi="楷体_GB2312" w:eastAsia="楷体_GB2312"/>
          <w:bCs/>
          <w:szCs w:val="21"/>
        </w:rPr>
        <w:t>（二）政府性基金预算。</w:t>
      </w:r>
      <w:r>
        <w:rPr>
          <w:rFonts w:hint="eastAsia" w:ascii="仿宋_GB2312" w:hAnsi="仿宋_GB2312" w:eastAsia="仿宋_GB2312"/>
          <w:szCs w:val="21"/>
        </w:rPr>
        <w:t>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widowControl/>
        <w:spacing w:line="560" w:lineRule="exact"/>
        <w:ind w:firstLine="640" w:firstLineChars="200"/>
        <w:rPr>
          <w:rFonts w:ascii="仿宋_GB2312" w:hAnsi="仿宋_GB2312" w:eastAsia="仿宋_GB2312"/>
          <w:szCs w:val="21"/>
        </w:rPr>
      </w:pPr>
      <w:r>
        <w:rPr>
          <w:rFonts w:hint="eastAsia" w:ascii="楷体_GB2312" w:hAnsi="楷体_GB2312" w:eastAsia="楷体_GB2312"/>
          <w:bCs/>
          <w:szCs w:val="21"/>
        </w:rPr>
        <w:t>（三）政府采购。</w:t>
      </w:r>
      <w:r>
        <w:rPr>
          <w:rFonts w:hint="eastAsia" w:ascii="仿宋_GB2312" w:hAnsi="仿宋_GB2312" w:eastAsia="仿宋_GB2312"/>
          <w:szCs w:val="21"/>
        </w:rPr>
        <w:t>指各级国家机关、事业单位和团体组织，使用财政性资金采购依法制定的集中采购目录以内或采购限额标准以上的货物、工程和服务的行为。</w:t>
      </w:r>
    </w:p>
    <w:p>
      <w:pPr>
        <w:widowControl/>
        <w:autoSpaceDE w:val="0"/>
        <w:autoSpaceDN w:val="0"/>
        <w:adjustRightInd w:val="0"/>
        <w:spacing w:line="560" w:lineRule="exact"/>
        <w:ind w:firstLine="633" w:firstLineChars="198"/>
        <w:rPr>
          <w:rFonts w:ascii="仿宋_GB2312" w:hAnsi="仿宋_GB2312" w:eastAsia="仿宋_GB2312"/>
          <w:szCs w:val="21"/>
        </w:rPr>
      </w:pPr>
      <w:r>
        <w:rPr>
          <w:rFonts w:hint="eastAsia" w:ascii="楷体_GB2312" w:hAnsi="楷体_GB2312" w:eastAsia="楷体_GB2312"/>
          <w:bCs/>
          <w:szCs w:val="21"/>
        </w:rPr>
        <w:t>（四）政府购买服务。</w:t>
      </w:r>
      <w:r>
        <w:rPr>
          <w:rFonts w:hint="eastAsia" w:ascii="仿宋_GB2312" w:hAnsi="仿宋_GB2312" w:eastAsia="仿宋_GB2312"/>
          <w:szCs w:val="21"/>
        </w:rPr>
        <w:t>指通过发挥市场机制作用，把政府直接提供的一部分公共服务事项以及政府履职所需服务事项，按照一定的方式和程序，交由具备条件的社会力量承担，并由政府根据合同约定向其支付费用。</w:t>
      </w:r>
    </w:p>
    <w:p>
      <w:pPr>
        <w:widowControl/>
        <w:spacing w:line="560" w:lineRule="exact"/>
        <w:ind w:firstLine="640" w:firstLineChars="200"/>
        <w:rPr>
          <w:rFonts w:ascii="仿宋_GB2312" w:hAnsi="仿宋_GB2312" w:eastAsia="仿宋_GB2312" w:cs="宋体"/>
          <w:kern w:val="0"/>
          <w:szCs w:val="32"/>
        </w:rPr>
      </w:pPr>
      <w:r>
        <w:rPr>
          <w:rFonts w:hint="eastAsia" w:ascii="楷体_GB2312" w:hAnsi="楷体_GB2312" w:eastAsia="楷体_GB2312"/>
          <w:bCs/>
          <w:szCs w:val="21"/>
        </w:rPr>
        <w:t>（五）“三公”经费。</w:t>
      </w:r>
      <w:r>
        <w:rPr>
          <w:rFonts w:eastAsia="仿宋_GB2312"/>
          <w:color w:val="000000"/>
          <w:kern w:val="0"/>
          <w:szCs w:val="32"/>
        </w:rPr>
        <w:t>指因公出国（境）费、公务用车购置及运行维护费和公务接待费。</w:t>
      </w:r>
      <w:r>
        <w:rPr>
          <w:rFonts w:hint="eastAsia" w:ascii="仿宋_GB2312" w:hAnsi="仿宋_GB2312" w:eastAsia="仿宋_GB2312" w:cs="宋体"/>
          <w:kern w:val="0"/>
          <w:szCs w:val="32"/>
        </w:rPr>
        <w:t xml:space="preserve">                   </w:t>
      </w:r>
    </w:p>
    <w:p>
      <w:pPr>
        <w:widowControl/>
        <w:spacing w:line="560" w:lineRule="exact"/>
        <w:ind w:firstLine="640" w:firstLineChars="200"/>
        <w:rPr>
          <w:rFonts w:ascii="仿宋_GB2312" w:hAnsi="仿宋_GB2312" w:eastAsia="仿宋_GB2312"/>
          <w:szCs w:val="32"/>
        </w:rPr>
      </w:pPr>
      <w:r>
        <w:rPr>
          <w:rFonts w:hint="eastAsia" w:ascii="仿宋_GB2312" w:hAnsi="仿宋_GB2312" w:eastAsia="仿宋_GB2312" w:cs="宋体"/>
          <w:kern w:val="0"/>
          <w:szCs w:val="32"/>
        </w:rPr>
        <w:t xml:space="preserve">                       未央区</w:t>
      </w:r>
      <w:r>
        <w:rPr>
          <w:rFonts w:hint="eastAsia" w:ascii="仿宋_GB2312" w:hAnsi="仿宋_GB2312" w:eastAsia="仿宋_GB2312"/>
          <w:szCs w:val="32"/>
        </w:rPr>
        <w:t>张家堡街道办事处</w:t>
      </w:r>
    </w:p>
    <w:p>
      <w:pPr>
        <w:widowControl/>
        <w:spacing w:line="560" w:lineRule="exact"/>
        <w:ind w:firstLine="640" w:firstLineChars="200"/>
        <w:rPr>
          <w:rFonts w:ascii="仿宋_GB2312" w:hAnsi="仿宋_GB2312" w:eastAsia="仿宋_GB2312"/>
          <w:szCs w:val="32"/>
        </w:rPr>
      </w:pPr>
      <w:r>
        <w:rPr>
          <w:rFonts w:hint="eastAsia" w:ascii="仿宋_GB2312" w:hAnsi="仿宋_GB2312" w:eastAsia="仿宋_GB2312"/>
          <w:szCs w:val="32"/>
        </w:rPr>
        <w:t xml:space="preserve">                         2018年3月14日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Arial Unicode MS"/>
    <w:panose1 w:val="00000000000000000000"/>
    <w:charset w:val="86"/>
    <w:family w:val="script"/>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4"/>
      <w:numFmt w:val="chineseCounting"/>
      <w:suff w:val="nothing"/>
      <w:lvlText w:val="（%1）"/>
      <w:lvlJc w:val="left"/>
    </w:lvl>
  </w:abstractNum>
  <w:abstractNum w:abstractNumId="1">
    <w:nsid w:val="00000009"/>
    <w:multiLevelType w:val="singleLevel"/>
    <w:tmpl w:val="00000009"/>
    <w:lvl w:ilvl="0" w:tentative="0">
      <w:start w:val="2"/>
      <w:numFmt w:val="decimal"/>
      <w:suff w:val="nothing"/>
      <w:lvlText w:val="%1."/>
      <w:lvlJc w:val="left"/>
    </w:lvl>
  </w:abstractNum>
  <w:abstractNum w:abstractNumId="2">
    <w:nsid w:val="0000000C"/>
    <w:multiLevelType w:val="singleLevel"/>
    <w:tmpl w:val="0000000C"/>
    <w:lvl w:ilvl="0" w:tentative="0">
      <w:start w:val="3"/>
      <w:numFmt w:val="chineseCounting"/>
      <w:suff w:val="nothing"/>
      <w:lvlText w:val="（%1）"/>
      <w:lvlJc w:val="left"/>
    </w:lvl>
  </w:abstractNum>
  <w:abstractNum w:abstractNumId="3">
    <w:nsid w:val="0000000D"/>
    <w:multiLevelType w:val="singleLevel"/>
    <w:tmpl w:val="0000000D"/>
    <w:lvl w:ilvl="0" w:tentative="0">
      <w:start w:val="7"/>
      <w:numFmt w:val="chineseCounting"/>
      <w:suff w:val="nothing"/>
      <w:lvlText w:val="（%1）"/>
      <w:lvlJc w:val="left"/>
    </w:lvl>
  </w:abstractNum>
  <w:abstractNum w:abstractNumId="4">
    <w:nsid w:val="0000000E"/>
    <w:multiLevelType w:val="singleLevel"/>
    <w:tmpl w:val="0000000E"/>
    <w:lvl w:ilvl="0" w:tentative="0">
      <w:start w:val="3"/>
      <w:numFmt w:val="chineseCounting"/>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3619"/>
    <w:rsid w:val="000B7C9B"/>
    <w:rsid w:val="00113FA0"/>
    <w:rsid w:val="002F53B4"/>
    <w:rsid w:val="003955EA"/>
    <w:rsid w:val="003B64AE"/>
    <w:rsid w:val="00451C5A"/>
    <w:rsid w:val="00560474"/>
    <w:rsid w:val="005C391A"/>
    <w:rsid w:val="005E330F"/>
    <w:rsid w:val="0069147A"/>
    <w:rsid w:val="006B1F16"/>
    <w:rsid w:val="00811C14"/>
    <w:rsid w:val="008D3E9E"/>
    <w:rsid w:val="009473BA"/>
    <w:rsid w:val="009B0F45"/>
    <w:rsid w:val="00A106B6"/>
    <w:rsid w:val="00AC1DBF"/>
    <w:rsid w:val="00B26CBA"/>
    <w:rsid w:val="00B4407D"/>
    <w:rsid w:val="00C2566E"/>
    <w:rsid w:val="00E366FD"/>
    <w:rsid w:val="00E83619"/>
    <w:rsid w:val="00E948B6"/>
    <w:rsid w:val="2AD958F3"/>
    <w:rsid w:val="55052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line="420" w:lineRule="atLeast"/>
      <w:ind w:firstLine="480"/>
      <w:jc w:val="left"/>
    </w:pPr>
    <w:rPr>
      <w:rFonts w:ascii="宋体" w:hAnsi="宋体" w:eastAsia="宋体" w:cs="宋体"/>
      <w:kern w:val="0"/>
      <w:sz w:val="24"/>
      <w:szCs w:val="24"/>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1301</Words>
  <Characters>7417</Characters>
  <Lines>61</Lines>
  <Paragraphs>17</Paragraphs>
  <TotalTime>2</TotalTime>
  <ScaleCrop>false</ScaleCrop>
  <LinksUpToDate>false</LinksUpToDate>
  <CharactersWithSpaces>8701</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2018-03-13T01:06:00Z</dcterms:created>
  <dc:creator>lenovo</dc:creator>
  <cp:lastModifiedBy>王燕妮</cp:lastModifiedBy>
  <dcterms:modified xsi:type="dcterms:W3CDTF">2019-01-28T11:42:43Z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