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880" w:firstLineChars="200"/>
        <w:jc w:val="center"/>
        <w:textAlignment w:val="auto"/>
        <w:outlineLvl w:val="9"/>
        <w:rPr>
          <w:rFonts w:hint="eastAsia" w:ascii="黑体" w:hAnsi="黑体" w:eastAsia="黑体" w:cs="黑体"/>
          <w:sz w:val="44"/>
          <w:szCs w:val="44"/>
        </w:rPr>
      </w:pPr>
      <w:r>
        <w:rPr>
          <w:rFonts w:hint="eastAsia" w:ascii="黑体" w:hAnsi="黑体" w:eastAsia="黑体" w:cs="黑体"/>
          <w:sz w:val="44"/>
          <w:szCs w:val="44"/>
          <w:lang w:val="en-US" w:eastAsia="zh-CN"/>
        </w:rPr>
        <w:t>西安市未央区安全生产监督管理局</w:t>
      </w:r>
      <w:bookmarkStart w:id="1" w:name="_GoBack"/>
      <w:bookmarkEnd w:id="1"/>
      <w:r>
        <w:rPr>
          <w:rFonts w:hint="eastAsia" w:ascii="黑体" w:hAnsi="黑体" w:eastAsia="黑体" w:cs="黑体"/>
          <w:sz w:val="44"/>
          <w:szCs w:val="44"/>
        </w:rPr>
        <w:t>2017年度部门决算说明</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880" w:firstLineChars="200"/>
        <w:jc w:val="center"/>
        <w:textAlignment w:val="auto"/>
        <w:outlineLvl w:val="9"/>
        <w:rPr>
          <w:rFonts w:hint="eastAsia" w:ascii="黑体" w:hAnsi="黑体" w:eastAsia="黑体" w:cs="黑体"/>
          <w:sz w:val="44"/>
          <w:szCs w:val="44"/>
        </w:rPr>
      </w:pP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一、单位基本情况</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1、贯彻执行安全生产方面的法律法规和方针政策，制定全区安全生产管理规范和工作规划，并组织实施。 </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2、负责全区安全生产综合监督管理工作，组织实施全区安全生产目标责任制落实工作。</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析和预测全区安全生产形势；负责安全生产伤亡事故统计和信息发布工作；负责安全生产行政执法工作；依法组织协调安全生产事故的调查处理，监督事故查处和责任追究落实情况；组织协调安全生产应急救援工作。</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4、承担危险化学品、烟花爆竹、铁路道口和非煤矿山安全生产监督管理责任。</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5、负责安全生产社会中介机构的监督管理；指导、协调全区安全生产检测检验工作。</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6、负责安全生产宣传教育培训工作；综合监督检查生产经营单位安全教育培训工作。</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7、承担工矿商贸行业安全生产监督管理责任，依法监督检查工矿商贸生产经营单位贯彻执行安全生产法律法规及安全生产条件、有关设备、材料、劳动防护用品的安全生产管理工作。</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8、依法监督检查生产经营类建设项目安全设施“三同时”情况；监督检查工矿商贸作业场所重大危险源的监控、重大事故隐患的整改工作；依法查处安全生产违法违规行为。</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9、承担工矿商贸作业场所职业卫生监督检查责任；监督检查生产经营类建设项目职业卫生“三同时”情况。</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10、承担区安全生产委员会办公室的日常工作。</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11、承办区政府交办的其他事项。</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（二）机构情况，包括当年变动情况及原因。</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独立核算单位1个，包括一个局机关行政单位及下属全额拨款事业单位。</w:t>
      </w:r>
    </w:p>
    <w:p>
      <w:pPr>
        <w:keepNext w:val="0"/>
        <w:keepLines w:val="0"/>
        <w:pageBreakBefore w:val="0"/>
        <w:kinsoku/>
        <w:wordWrap/>
        <w:overflowPunct/>
        <w:topLinePunct w:val="0"/>
        <w:autoSpaceDE/>
        <w:autoSpaceDN/>
        <w:bidi w:val="0"/>
        <w:adjustRightInd/>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（三）人员情况，包括当年变动情况及原因。</w:t>
      </w:r>
    </w:p>
    <w:p>
      <w:pPr>
        <w:keepNext w:val="0"/>
        <w:keepLines w:val="0"/>
        <w:pageBreakBefore w:val="0"/>
        <w:kinsoku/>
        <w:wordWrap/>
        <w:overflowPunct/>
        <w:topLinePunct w:val="0"/>
        <w:autoSpaceDE/>
        <w:autoSpaceDN/>
        <w:bidi w:val="0"/>
        <w:adjustRightInd/>
        <w:snapToGrid w:val="0"/>
        <w:spacing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2017年末实有行政编制9人，比2016年增加2人，实际10人，超编1人；事业编制12人，比2016年增加2人，实际10人，编制未满。</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二、工作目标和主要任务</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（一）工作目标</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认真贯彻党的十九大精神，牢固树立科学发展、安全发展的理念，以保障人民生命财产安全为根本目标，严格落实企业安全生产主体责任、政府及部门监管责任和属地管理责任，提高依法行政能力，全面推进安全生产各项工作，构建安全生产长效机制，严防生产安全事故发生，为实现全区安全生产状况持续稳定好转的目标奠定坚实基础。</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（二）主要任务</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国务院和省、市、区政府年度工作部署，以及省、市安监局安全生产工作总体要求，认真开展安全生产专项整治，严厉打击非法违法生产经营行为，深入宣传贯彻新《安全生产法》，广泛开展安全生产法制宣传教育。</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2.以危险化学品和烟花爆竹等行业领域为重点，加大执法检查力度，严格落实企业安全生产主体责任，大力开展隐患整治和各类安全生产专项行动，严防各类事故发生。</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以人员密集场所、交通运输、建筑施工、特种设备、农机等行业领域为重点，加强综合监管，全面落实公安、交通、建设、质监、农业等行业主管部门的安全生产监管职责，加大隐患治理力度，严厉打击非法违法生产、经营、建设等行为，坚决遏制重特大生产安全事故。</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三、部门概况及机构设置</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安监局属行政编制、财政全额，编制9人，现实有人数为10人。下属办公室、安监科、职安科和监察队办公室4个内设机构。</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下属事业单位安全生产监察队属事业编制、财政全额，编制12人，实有人数10人。</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、2017年度部门工作完成情况</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2017年工作总结</w:t>
      </w:r>
    </w:p>
    <w:p>
      <w:pPr>
        <w:keepNext w:val="0"/>
        <w:keepLines w:val="0"/>
        <w:pageBreakBefore w:val="0"/>
        <w:widowControl/>
        <w:shd w:val="clear" w:color="auto" w:fill="FFFFFF"/>
        <w:kinsoku/>
        <w:wordWrap/>
        <w:overflowPunct/>
        <w:topLinePunct w:val="0"/>
        <w:autoSpaceDE/>
        <w:autoSpaceDN/>
        <w:bidi w:val="0"/>
        <w:adjustRightInd/>
        <w:spacing w:afterAutospacing="0" w:line="560" w:lineRule="exact"/>
        <w:ind w:left="0" w:leftChars="0" w:right="0" w:rightChars="0" w:firstLine="48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、部门决算单位构成</w:t>
      </w:r>
    </w:p>
    <w:tbl>
      <w:tblPr>
        <w:tblStyle w:val="4"/>
        <w:tblW w:w="845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145"/>
        <w:gridCol w:w="63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145" w:type="dxa"/>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6311" w:type="dxa"/>
            <w:tcBorders>
              <w:top w:val="single" w:color="auto" w:sz="4" w:space="0"/>
              <w:left w:val="single" w:color="000000"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145" w:type="dxa"/>
            <w:tcBorders>
              <w:top w:val="single" w:color="000000"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6311" w:type="dxa"/>
            <w:tcBorders>
              <w:top w:val="single" w:color="000000" w:sz="4" w:space="0"/>
              <w:left w:val="single" w:color="000000"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未央区安全生产监督管理局本级</w:t>
            </w:r>
          </w:p>
        </w:tc>
      </w:tr>
    </w:tbl>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、部门人员情况说明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截止2017年底，本部门人员编制21人，其中行政编制9人、事业编制12人；实有人员20人，其中行政10人，事业10人。单位管理的离退休人员1人。</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、部门决算收支情况说明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（一）2017年度收入支出总体情况说明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1.本年度收入支出总体情况及比上年增长（减少）情况，分析增减变化的主要原因。</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bookmarkStart w:id="0" w:name="_Hlk526838652"/>
      <w:bookmarkEnd w:id="0"/>
      <w:r>
        <w:rPr>
          <w:rFonts w:hint="eastAsia" w:ascii="仿宋_GB2312" w:hAnsi="仿宋_GB2312" w:eastAsia="仿宋_GB2312" w:cs="仿宋_GB2312"/>
          <w:kern w:val="0"/>
          <w:sz w:val="32"/>
          <w:szCs w:val="32"/>
        </w:rPr>
        <w:t>2017年度本年收入合计387.44万元，较上年增长46万元，较上年增长10.8%，增加主要原因是项目收入增加了罚没收入；</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（2）2017年度本年支出合计为387.44万元，较上年增加46万元，较上年增长13.5%，增长的主要原因是其他商品服务业等支出增长。</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2.本年度收入构成情况。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2017年度本年收入合计387.44万元。其中：财政拨款377.64万元，占总收入的97.7%，其他收入9.8万元。</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3.本年度支出构成情况。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2017年度本年支出合计387.44万元。其中：基本支出303万元，用于工资福利、工会经费、办公用品购买等支出，占总支出的78.2%；项目支出84.44万元，占总支出的21.8%。</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（二）2017年度财政拨款收入支出总体情况说明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1.财政拨款收入支出总体情况及比上年增减情况，分析增减变化原因。</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2017年度本年收入合计387.44万元，较上年增长46万元，较上年增长10.8%，增加主要原因是项目收入增加了罚没收入。</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2.一般公共预算财政拨款支出情况。（按政府功能分类科目和经济分类科目说明支出具体内容）</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（1）按照部门支出功能分类的类、款级科目，区分基本支出、项目支出说明一般公共预算拨款支出情况，将相关数据与上年对比，分析增减变化原因。</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2017年度一般公共预算拨款支出387.44万元，按支出功能分类科目分，其中基本支出303万元、项目支出84.44万元，较上年增长13.5%，增长的主要原因是其他商品服务业等支出增长。</w:t>
      </w:r>
    </w:p>
    <w:tbl>
      <w:tblPr>
        <w:tblStyle w:val="4"/>
        <w:tblW w:w="845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28"/>
        <w:gridCol w:w="1655"/>
        <w:gridCol w:w="1651"/>
        <w:gridCol w:w="1668"/>
        <w:gridCol w:w="1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483"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2016年决算数据（万元）</w:t>
            </w:r>
          </w:p>
        </w:tc>
        <w:tc>
          <w:tcPr>
            <w:tcW w:w="3319" w:type="dxa"/>
            <w:gridSpan w:val="2"/>
            <w:tcBorders>
              <w:top w:val="single" w:color="auto" w:sz="4" w:space="0"/>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2017年决算数据（万元）</w:t>
            </w:r>
          </w:p>
        </w:tc>
        <w:tc>
          <w:tcPr>
            <w:tcW w:w="1654" w:type="dxa"/>
            <w:tcBorders>
              <w:top w:val="single" w:color="auto" w:sz="4" w:space="0"/>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增长（减小）%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828" w:type="dxa"/>
            <w:tcBorders>
              <w:top w:val="nil"/>
              <w:left w:val="single" w:color="auto"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基本支出</w:t>
            </w:r>
          </w:p>
        </w:tc>
        <w:tc>
          <w:tcPr>
            <w:tcW w:w="1655"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251.18</w:t>
            </w:r>
          </w:p>
        </w:tc>
        <w:tc>
          <w:tcPr>
            <w:tcW w:w="1651"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基本支出</w:t>
            </w:r>
          </w:p>
        </w:tc>
        <w:tc>
          <w:tcPr>
            <w:tcW w:w="1668"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303</w:t>
            </w:r>
          </w:p>
        </w:tc>
        <w:tc>
          <w:tcPr>
            <w:tcW w:w="1654"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增长20.6%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28" w:type="dxa"/>
            <w:tcBorders>
              <w:top w:val="nil"/>
              <w:left w:val="single" w:color="auto" w:sz="4" w:space="0"/>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项目支出</w:t>
            </w:r>
          </w:p>
        </w:tc>
        <w:tc>
          <w:tcPr>
            <w:tcW w:w="1655"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90.15</w:t>
            </w:r>
          </w:p>
        </w:tc>
        <w:tc>
          <w:tcPr>
            <w:tcW w:w="1651"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项目支出</w:t>
            </w:r>
          </w:p>
        </w:tc>
        <w:tc>
          <w:tcPr>
            <w:tcW w:w="1668"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84.44</w:t>
            </w:r>
          </w:p>
        </w:tc>
        <w:tc>
          <w:tcPr>
            <w:tcW w:w="1654" w:type="dxa"/>
            <w:tcBorders>
              <w:top w:val="nil"/>
              <w:left w:val="nil"/>
              <w:bottom w:val="single" w:color="auto" w:sz="4" w:space="0"/>
              <w:right w:val="single" w:color="auto" w:sz="4" w:space="0"/>
            </w:tcBorders>
            <w:shd w:val="clear" w:color="auto" w:fill="auto"/>
            <w:tcMar>
              <w:top w:w="0" w:type="dxa"/>
              <w:left w:w="75" w:type="dxa"/>
              <w:bottom w:w="0" w:type="dxa"/>
              <w:right w:w="75" w:type="dxa"/>
            </w:tcMa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减少0.06%</w:t>
            </w:r>
          </w:p>
        </w:tc>
      </w:tr>
    </w:tbl>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（2）按照部门支出经济分类的类级科目，区分基本支出、项目支出说明一般公共预算拨款支出情况。</w:t>
      </w:r>
    </w:p>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2017年度一般公共预算拨款支出387.44万元，按支出经济分类科目分：</w:t>
      </w:r>
    </w:p>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工资福利支出类支出303万元，其中人员经费支出274.67万元、公用费用支出28.33、项目支出0万元，比上年增长20.6%，增加主要原因是人员增资。</w:t>
      </w:r>
    </w:p>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商品和服务支出类支出107.43万元，比上年增加66%，增加主要原因是安全生产信息平台。</w:t>
      </w:r>
    </w:p>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对个人和家庭的补助支出类支出12.56万元，比上年增加127.68%，增加主要增加住房公积金补助。</w:t>
      </w:r>
    </w:p>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其他资本性支出类支出5.33万元，比上年减少90.9%，减少主要原因是购置新的办公设备。</w:t>
      </w:r>
    </w:p>
    <w:p>
      <w:pPr>
        <w:widowControl/>
        <w:shd w:val="clear" w:color="auto" w:fill="FFFFFF"/>
        <w:spacing w:before="161" w:after="100" w:afterAutospacing="1" w:line="344"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一般公共预算财政拨款支出情况上下年对比表——按照支出经济分类分</w:t>
      </w:r>
    </w:p>
    <w:tbl>
      <w:tblPr>
        <w:tblStyle w:val="4"/>
        <w:tblW w:w="9750" w:type="dxa"/>
        <w:jc w:val="center"/>
        <w:tblLayout w:type="fixed"/>
        <w:tblCellMar>
          <w:top w:w="0" w:type="dxa"/>
          <w:left w:w="0" w:type="dxa"/>
          <w:bottom w:w="0" w:type="dxa"/>
          <w:right w:w="0" w:type="dxa"/>
        </w:tblCellMar>
      </w:tblPr>
      <w:tblGrid>
        <w:gridCol w:w="1140"/>
        <w:gridCol w:w="285"/>
        <w:gridCol w:w="1991"/>
        <w:gridCol w:w="1275"/>
        <w:gridCol w:w="1204"/>
        <w:gridCol w:w="1305"/>
        <w:gridCol w:w="1125"/>
        <w:gridCol w:w="1410"/>
        <w:gridCol w:w="15"/>
      </w:tblGrid>
      <w:tr>
        <w:tblPrEx>
          <w:tblCellMar>
            <w:top w:w="0" w:type="dxa"/>
            <w:left w:w="0" w:type="dxa"/>
            <w:bottom w:w="0" w:type="dxa"/>
            <w:right w:w="0" w:type="dxa"/>
          </w:tblCellMar>
        </w:tblPrEx>
        <w:trPr>
          <w:trHeight w:val="315" w:hRule="atLeast"/>
          <w:jc w:val="center"/>
        </w:trPr>
        <w:tc>
          <w:tcPr>
            <w:tcW w:w="34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2479" w:type="dxa"/>
            <w:gridSpan w:val="2"/>
            <w:tcBorders>
              <w:top w:val="single" w:color="000000" w:sz="4" w:space="0"/>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2016年一般公共预算财政拨款支</w:t>
            </w:r>
          </w:p>
        </w:tc>
        <w:tc>
          <w:tcPr>
            <w:tcW w:w="2430" w:type="dxa"/>
            <w:gridSpan w:val="2"/>
            <w:tcBorders>
              <w:top w:val="single" w:color="000000" w:sz="4" w:space="0"/>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2017年一般公共预算财政拨款支</w:t>
            </w:r>
          </w:p>
        </w:tc>
        <w:tc>
          <w:tcPr>
            <w:tcW w:w="1410" w:type="dxa"/>
            <w:vMerge w:val="restart"/>
            <w:tcBorders>
              <w:top w:val="single" w:color="000000" w:sz="4" w:space="0"/>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增减比例</w:t>
            </w: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341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275" w:type="dxa"/>
            <w:vMerge w:val="restart"/>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人员经费</w:t>
            </w:r>
          </w:p>
        </w:tc>
        <w:tc>
          <w:tcPr>
            <w:tcW w:w="1204" w:type="dxa"/>
            <w:vMerge w:val="restart"/>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公用经费</w:t>
            </w:r>
          </w:p>
        </w:tc>
        <w:tc>
          <w:tcPr>
            <w:tcW w:w="1305" w:type="dxa"/>
            <w:vMerge w:val="restart"/>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人员经费</w:t>
            </w:r>
          </w:p>
        </w:tc>
        <w:tc>
          <w:tcPr>
            <w:tcW w:w="1125" w:type="dxa"/>
            <w:vMerge w:val="restart"/>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公用经费</w:t>
            </w:r>
          </w:p>
        </w:tc>
        <w:tc>
          <w:tcPr>
            <w:tcW w:w="1410"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870" w:hRule="atLeast"/>
          <w:jc w:val="center"/>
        </w:trPr>
        <w:tc>
          <w:tcPr>
            <w:tcW w:w="1140" w:type="dxa"/>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经济分类科目编码</w:t>
            </w:r>
          </w:p>
        </w:tc>
        <w:tc>
          <w:tcPr>
            <w:tcW w:w="2276" w:type="dxa"/>
            <w:gridSpan w:val="2"/>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科目名称</w:t>
            </w:r>
          </w:p>
        </w:tc>
        <w:tc>
          <w:tcPr>
            <w:tcW w:w="1275"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204"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305"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125"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410"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3416" w:type="dxa"/>
            <w:gridSpan w:val="3"/>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217.84　</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33.34　</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274.67</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8.33</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工资福利支出</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217.4</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262.11</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30101</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基本工资</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68.13</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72.39</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30102</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津贴补贴</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79.68</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60.03</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30103</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奖金</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35.54</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104.81</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30104</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其他社会保障缴费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20.36</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15.49</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30107</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其他工资福利支出</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10.695</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9.39</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商品和服务支出</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33.34</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28.33</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30201</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4.196</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15"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30202</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30207</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邮电费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0.51</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0.495</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30211</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差旅费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7.89</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30215</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会议费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30216</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培训费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0.381</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30226</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福利费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30228</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工会经费</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2.63</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30239</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其他交通费用</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12.1</w:t>
            </w: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10.48</w:t>
            </w: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303</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对个人和家庭的补助</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0.438</w:t>
            </w: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12.56</w:t>
            </w: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310</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其他资本性支出</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270" w:hRule="atLeast"/>
          <w:jc w:val="center"/>
        </w:trPr>
        <w:tc>
          <w:tcPr>
            <w:tcW w:w="1425" w:type="dxa"/>
            <w:gridSpan w:val="2"/>
            <w:tcBorders>
              <w:top w:val="nil"/>
              <w:left w:val="single" w:color="000000" w:sz="4" w:space="0"/>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ind w:firstLine="48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31002</w:t>
            </w:r>
          </w:p>
        </w:tc>
        <w:tc>
          <w:tcPr>
            <w:tcW w:w="1991"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top"/>
          </w:tcPr>
          <w:p>
            <w:pPr>
              <w:widowControl/>
              <w:spacing w:before="161" w:after="100" w:afterAutospacing="1" w:line="344" w:lineRule="atLeas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办公设备购置</w:t>
            </w:r>
          </w:p>
        </w:tc>
        <w:tc>
          <w:tcPr>
            <w:tcW w:w="127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204"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30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125"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spacing w:before="161" w:after="100" w:afterAutospacing="1" w:line="344" w:lineRule="atLeast"/>
              <w:ind w:firstLine="480"/>
              <w:jc w:val="left"/>
              <w:rPr>
                <w:rFonts w:hint="eastAsia" w:ascii="仿宋_GB2312" w:hAnsi="仿宋_GB2312" w:eastAsia="仿宋_GB2312" w:cs="仿宋_GB2312"/>
                <w:kern w:val="0"/>
                <w:sz w:val="24"/>
                <w:szCs w:val="24"/>
              </w:rPr>
            </w:pPr>
          </w:p>
        </w:tc>
        <w:tc>
          <w:tcPr>
            <w:tcW w:w="1410" w:type="dxa"/>
            <w:tcBorders>
              <w:top w:val="nil"/>
              <w:left w:val="nil"/>
              <w:bottom w:val="single" w:color="000000" w:sz="4" w:space="0"/>
              <w:right w:val="single" w:color="000000" w:sz="4" w:space="0"/>
            </w:tcBorders>
            <w:shd w:val="clear" w:color="auto" w:fill="auto"/>
            <w:tcMar>
              <w:top w:w="0" w:type="dxa"/>
              <w:left w:w="75" w:type="dxa"/>
              <w:bottom w:w="0" w:type="dxa"/>
              <w:right w:w="75" w:type="dxa"/>
            </w:tcMar>
            <w:vAlign w:val="center"/>
          </w:tcPr>
          <w:p>
            <w:pPr>
              <w:widowControl/>
              <w:jc w:val="left"/>
              <w:rPr>
                <w:rFonts w:hint="eastAsia" w:ascii="仿宋_GB2312" w:hAnsi="仿宋_GB2312" w:eastAsia="仿宋_GB2312" w:cs="仿宋_GB2312"/>
                <w:kern w:val="0"/>
                <w:sz w:val="24"/>
                <w:szCs w:val="24"/>
              </w:rPr>
            </w:pPr>
          </w:p>
        </w:tc>
        <w:tc>
          <w:tcPr>
            <w:tcW w:w="15" w:type="dxa"/>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4"/>
                <w:szCs w:val="24"/>
              </w:rPr>
            </w:pPr>
          </w:p>
        </w:tc>
      </w:tr>
    </w:tbl>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3.一般公共预算财政拨款基本支出决算情况。（按人员经费和公用经费分别进行说明）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一般公共预算拨款基本支出387.44万元，其中：人员经费303万元，公用经费84.44万元，主要用于为保障机构正常运转、完成日常工作任务而发生的人员工资、办公费、邮电费、水电费、工会经费、其他交通费等支出。</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4.政府性基金财政拨款收支情况说明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2017年度政府性基金财政拨款收入0万元，支出0万元。</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5.国有资本经营财政拨款收支情况说明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本部门无国有资本经营预算拨款收支。</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（三）2017年度“三公”经费支出情况说明。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2017年度一般公共预算财政拨款安排的“三公”经费支出0万元，同比2016年无变化.</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具体情况如下:</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1.因公出国（境）团组情况：无此类情况。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2.公务接待情况：无此类情况。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3.公务用车购置及运行维护费情况：无此类情况。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六、2017年度部门绩效管理情况说明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2017年度本部门对5个专项业务经费项目开展了绩效自评，涉及一般公共预算当年拨款184.31万元。</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、其他重要事项的情况说明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（一）机关运行经费支出情况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“机关运行经费”是指一般公共预算拨款安排的基本支出中的日常公用经费。的各项公用经费，包括办公及印刷费、邮电费、差旅费、会议费、福利费、日常维修费等支出。</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（二）政府采购支出情况。</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本部门2017年无政府采购支出，并已公开空表</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（三）国有资产占用及购置情况说明。</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末，本部门所属单位无车辆；单价50万以上的通用设备0台（套）；单价100万元以上的通用设备0台（套）。2017年当年购置车辆0辆；购置单价50万元以上的设备备0台（套）；单价100万元以上的通用设备0台（套）。</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专业名词解释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61" w:after="100" w:afterAutospacing="1" w:line="560" w:lineRule="exact"/>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（一）一般公共预算：一般公共预算是对以税收为主体的财政收入，安排用于保障和改善民生、推动经济社会发展、维护国家安全、维持国家机构正常运转等方面的收支预算。</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性基金预算：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（三）基本支出：指为保障机构正常运转、完成日常工作任务而发生的各项支出。</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（四）项目支出：指单位为完成特定的行政工作任务或事业发展目标所发生的各项支出。</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机关运行经费：为保障行政单位（包括参照公务员法管理的事业单位）运行用于购买货物和服务的各项公用经费，包括办公及印刷费、邮电费、差旅费、会议费、福利费、日常维修费、专用材料及办公用房水电费、办公用房取暖费、办公用房物业管理费、公务用车运行维护费以及其他费用。</w:t>
      </w:r>
    </w:p>
    <w:p>
      <w:pPr>
        <w:keepNext w:val="0"/>
        <w:keepLines w:val="0"/>
        <w:pageBreakBefore w:val="0"/>
        <w:widowControl/>
        <w:shd w:val="clear" w:color="auto" w:fill="FFFFFF"/>
        <w:kinsoku/>
        <w:wordWrap/>
        <w:overflowPunct/>
        <w:topLinePunct w:val="0"/>
        <w:autoSpaceDE/>
        <w:autoSpaceDN/>
        <w:bidi w:val="0"/>
        <w:adjustRightInd/>
        <w:snapToGrid/>
        <w:spacing w:before="161" w:after="100" w:afterAutospacing="1" w:line="560" w:lineRule="exact"/>
        <w:ind w:left="0" w:leftChars="0" w:right="0" w:rightChars="0" w:firstLine="48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（七）政府采购：指各级国家机关、事业单位和团体组织，使用财政性资金采购依法制定的集中采购目录以内或采购限额标准以上的货物、工程和服务的行为。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RhYjdkOGVmNGMyOWQ4NWUxZDBhYTYwMWVjZTFhMTgifQ=="/>
  </w:docVars>
  <w:rsids>
    <w:rsidRoot w:val="00D76175"/>
    <w:rsid w:val="00000374"/>
    <w:rsid w:val="00000AA8"/>
    <w:rsid w:val="00003967"/>
    <w:rsid w:val="00006D52"/>
    <w:rsid w:val="00007BEA"/>
    <w:rsid w:val="000152F7"/>
    <w:rsid w:val="00016A88"/>
    <w:rsid w:val="00017A8F"/>
    <w:rsid w:val="00026C7E"/>
    <w:rsid w:val="00027D6D"/>
    <w:rsid w:val="000334D8"/>
    <w:rsid w:val="00036693"/>
    <w:rsid w:val="00041FC5"/>
    <w:rsid w:val="000445EC"/>
    <w:rsid w:val="00045A51"/>
    <w:rsid w:val="00047686"/>
    <w:rsid w:val="00047AA0"/>
    <w:rsid w:val="000508EF"/>
    <w:rsid w:val="00051109"/>
    <w:rsid w:val="00054419"/>
    <w:rsid w:val="000547CA"/>
    <w:rsid w:val="0005485E"/>
    <w:rsid w:val="00054D21"/>
    <w:rsid w:val="00055B39"/>
    <w:rsid w:val="00056CE5"/>
    <w:rsid w:val="00057628"/>
    <w:rsid w:val="000622D3"/>
    <w:rsid w:val="000716CF"/>
    <w:rsid w:val="00073B4F"/>
    <w:rsid w:val="000747B2"/>
    <w:rsid w:val="0008199C"/>
    <w:rsid w:val="00083478"/>
    <w:rsid w:val="00087C1B"/>
    <w:rsid w:val="0009089A"/>
    <w:rsid w:val="0009156E"/>
    <w:rsid w:val="00091B14"/>
    <w:rsid w:val="00091EA1"/>
    <w:rsid w:val="00092847"/>
    <w:rsid w:val="000946C9"/>
    <w:rsid w:val="00095023"/>
    <w:rsid w:val="000958DE"/>
    <w:rsid w:val="000A249C"/>
    <w:rsid w:val="000A2DB2"/>
    <w:rsid w:val="000A35E3"/>
    <w:rsid w:val="000A39FD"/>
    <w:rsid w:val="000A4F45"/>
    <w:rsid w:val="000A7202"/>
    <w:rsid w:val="000B037D"/>
    <w:rsid w:val="000B6F4C"/>
    <w:rsid w:val="000C071E"/>
    <w:rsid w:val="000C3196"/>
    <w:rsid w:val="000C4A90"/>
    <w:rsid w:val="000C4E9F"/>
    <w:rsid w:val="000D0989"/>
    <w:rsid w:val="000D4E61"/>
    <w:rsid w:val="000D628C"/>
    <w:rsid w:val="000E1675"/>
    <w:rsid w:val="000E321F"/>
    <w:rsid w:val="000E43F4"/>
    <w:rsid w:val="000E61F3"/>
    <w:rsid w:val="000E71E3"/>
    <w:rsid w:val="000E79C3"/>
    <w:rsid w:val="000F27E8"/>
    <w:rsid w:val="000F7238"/>
    <w:rsid w:val="00100869"/>
    <w:rsid w:val="00101DFD"/>
    <w:rsid w:val="00101EB4"/>
    <w:rsid w:val="001034A8"/>
    <w:rsid w:val="001050FB"/>
    <w:rsid w:val="00105903"/>
    <w:rsid w:val="00105FD3"/>
    <w:rsid w:val="001064F5"/>
    <w:rsid w:val="001069D1"/>
    <w:rsid w:val="00107EB8"/>
    <w:rsid w:val="001102AE"/>
    <w:rsid w:val="00113F9C"/>
    <w:rsid w:val="0011629F"/>
    <w:rsid w:val="001211A3"/>
    <w:rsid w:val="00121717"/>
    <w:rsid w:val="001233CB"/>
    <w:rsid w:val="001270C3"/>
    <w:rsid w:val="00130D6C"/>
    <w:rsid w:val="00131214"/>
    <w:rsid w:val="00131901"/>
    <w:rsid w:val="00135EAA"/>
    <w:rsid w:val="001363DF"/>
    <w:rsid w:val="00137458"/>
    <w:rsid w:val="00143A61"/>
    <w:rsid w:val="00146814"/>
    <w:rsid w:val="00146AE7"/>
    <w:rsid w:val="00146C9A"/>
    <w:rsid w:val="00150F32"/>
    <w:rsid w:val="00153B38"/>
    <w:rsid w:val="00153CB8"/>
    <w:rsid w:val="00160F2E"/>
    <w:rsid w:val="001617AC"/>
    <w:rsid w:val="00161AC0"/>
    <w:rsid w:val="00170B53"/>
    <w:rsid w:val="00177328"/>
    <w:rsid w:val="00181FCB"/>
    <w:rsid w:val="0018475B"/>
    <w:rsid w:val="001866E3"/>
    <w:rsid w:val="00194FB7"/>
    <w:rsid w:val="00195FD1"/>
    <w:rsid w:val="0019680A"/>
    <w:rsid w:val="001A0D38"/>
    <w:rsid w:val="001A293B"/>
    <w:rsid w:val="001A4B2F"/>
    <w:rsid w:val="001A77AB"/>
    <w:rsid w:val="001B3A4C"/>
    <w:rsid w:val="001B5056"/>
    <w:rsid w:val="001B72C3"/>
    <w:rsid w:val="001C07F2"/>
    <w:rsid w:val="001C1AE3"/>
    <w:rsid w:val="001C1B04"/>
    <w:rsid w:val="001C494C"/>
    <w:rsid w:val="001C574F"/>
    <w:rsid w:val="001C5A74"/>
    <w:rsid w:val="001D44DE"/>
    <w:rsid w:val="001D621E"/>
    <w:rsid w:val="001E2BAF"/>
    <w:rsid w:val="001E37D6"/>
    <w:rsid w:val="001E4459"/>
    <w:rsid w:val="001E5050"/>
    <w:rsid w:val="001E50C6"/>
    <w:rsid w:val="001E7128"/>
    <w:rsid w:val="001F243A"/>
    <w:rsid w:val="001F78F6"/>
    <w:rsid w:val="00201E51"/>
    <w:rsid w:val="002038B6"/>
    <w:rsid w:val="002100AB"/>
    <w:rsid w:val="002108D1"/>
    <w:rsid w:val="00210993"/>
    <w:rsid w:val="00210A3C"/>
    <w:rsid w:val="002112E7"/>
    <w:rsid w:val="002136F1"/>
    <w:rsid w:val="00213BD3"/>
    <w:rsid w:val="00214EF0"/>
    <w:rsid w:val="002179E9"/>
    <w:rsid w:val="00217EA2"/>
    <w:rsid w:val="002203EE"/>
    <w:rsid w:val="00220927"/>
    <w:rsid w:val="00221C13"/>
    <w:rsid w:val="00221EE9"/>
    <w:rsid w:val="002250BD"/>
    <w:rsid w:val="00225462"/>
    <w:rsid w:val="0023137B"/>
    <w:rsid w:val="00231B98"/>
    <w:rsid w:val="00232D34"/>
    <w:rsid w:val="00234C8B"/>
    <w:rsid w:val="0023702D"/>
    <w:rsid w:val="00240462"/>
    <w:rsid w:val="00240564"/>
    <w:rsid w:val="00240C79"/>
    <w:rsid w:val="002444B8"/>
    <w:rsid w:val="002448A5"/>
    <w:rsid w:val="002454FA"/>
    <w:rsid w:val="00250AC2"/>
    <w:rsid w:val="00251B74"/>
    <w:rsid w:val="00253ADA"/>
    <w:rsid w:val="00254430"/>
    <w:rsid w:val="00256488"/>
    <w:rsid w:val="00257150"/>
    <w:rsid w:val="002606DF"/>
    <w:rsid w:val="00261C5E"/>
    <w:rsid w:val="00265CF1"/>
    <w:rsid w:val="0027013F"/>
    <w:rsid w:val="00272AD4"/>
    <w:rsid w:val="00272BD4"/>
    <w:rsid w:val="002749E3"/>
    <w:rsid w:val="002754D1"/>
    <w:rsid w:val="00282345"/>
    <w:rsid w:val="002823F7"/>
    <w:rsid w:val="00282605"/>
    <w:rsid w:val="00284FB9"/>
    <w:rsid w:val="00285F2B"/>
    <w:rsid w:val="00290880"/>
    <w:rsid w:val="00291C1D"/>
    <w:rsid w:val="00293DBE"/>
    <w:rsid w:val="00295881"/>
    <w:rsid w:val="0029682C"/>
    <w:rsid w:val="00296FA5"/>
    <w:rsid w:val="002A0DF2"/>
    <w:rsid w:val="002A1648"/>
    <w:rsid w:val="002A19EB"/>
    <w:rsid w:val="002A3A57"/>
    <w:rsid w:val="002A4616"/>
    <w:rsid w:val="002A512F"/>
    <w:rsid w:val="002A53FA"/>
    <w:rsid w:val="002A6E9D"/>
    <w:rsid w:val="002B01B5"/>
    <w:rsid w:val="002B0A90"/>
    <w:rsid w:val="002B2417"/>
    <w:rsid w:val="002B458D"/>
    <w:rsid w:val="002B5B6A"/>
    <w:rsid w:val="002B5D72"/>
    <w:rsid w:val="002B7AF5"/>
    <w:rsid w:val="002B7D05"/>
    <w:rsid w:val="002C4FF6"/>
    <w:rsid w:val="002C6D0A"/>
    <w:rsid w:val="002D03A8"/>
    <w:rsid w:val="002D372A"/>
    <w:rsid w:val="002D7212"/>
    <w:rsid w:val="002E0590"/>
    <w:rsid w:val="002E08D8"/>
    <w:rsid w:val="002E75AB"/>
    <w:rsid w:val="002F0051"/>
    <w:rsid w:val="002F0BA0"/>
    <w:rsid w:val="002F2A85"/>
    <w:rsid w:val="0030104B"/>
    <w:rsid w:val="003028D3"/>
    <w:rsid w:val="00302F74"/>
    <w:rsid w:val="00304860"/>
    <w:rsid w:val="00307601"/>
    <w:rsid w:val="003079F9"/>
    <w:rsid w:val="00307D63"/>
    <w:rsid w:val="00310374"/>
    <w:rsid w:val="003118E1"/>
    <w:rsid w:val="003119AB"/>
    <w:rsid w:val="003138F8"/>
    <w:rsid w:val="00314C98"/>
    <w:rsid w:val="003174C7"/>
    <w:rsid w:val="003228EC"/>
    <w:rsid w:val="00325AE9"/>
    <w:rsid w:val="0032759E"/>
    <w:rsid w:val="003309A0"/>
    <w:rsid w:val="00330E77"/>
    <w:rsid w:val="003320BF"/>
    <w:rsid w:val="00332F75"/>
    <w:rsid w:val="0034005A"/>
    <w:rsid w:val="003408CE"/>
    <w:rsid w:val="00340D3B"/>
    <w:rsid w:val="003463FA"/>
    <w:rsid w:val="00347506"/>
    <w:rsid w:val="003476F4"/>
    <w:rsid w:val="00350151"/>
    <w:rsid w:val="00363007"/>
    <w:rsid w:val="003634DB"/>
    <w:rsid w:val="00364B19"/>
    <w:rsid w:val="003671D4"/>
    <w:rsid w:val="003723F4"/>
    <w:rsid w:val="003743FF"/>
    <w:rsid w:val="003756CE"/>
    <w:rsid w:val="00382F1C"/>
    <w:rsid w:val="0038579C"/>
    <w:rsid w:val="00386315"/>
    <w:rsid w:val="00386C1C"/>
    <w:rsid w:val="00387292"/>
    <w:rsid w:val="00391F0D"/>
    <w:rsid w:val="00395915"/>
    <w:rsid w:val="00396FBC"/>
    <w:rsid w:val="003A05B4"/>
    <w:rsid w:val="003A16A7"/>
    <w:rsid w:val="003A3277"/>
    <w:rsid w:val="003A4439"/>
    <w:rsid w:val="003A4BAB"/>
    <w:rsid w:val="003A7E60"/>
    <w:rsid w:val="003B0192"/>
    <w:rsid w:val="003B17E6"/>
    <w:rsid w:val="003B23C0"/>
    <w:rsid w:val="003B3521"/>
    <w:rsid w:val="003C1254"/>
    <w:rsid w:val="003C4EF2"/>
    <w:rsid w:val="003D0570"/>
    <w:rsid w:val="003D1456"/>
    <w:rsid w:val="003D2598"/>
    <w:rsid w:val="003D3219"/>
    <w:rsid w:val="003D36D2"/>
    <w:rsid w:val="003D4A44"/>
    <w:rsid w:val="003D4CD9"/>
    <w:rsid w:val="003D5025"/>
    <w:rsid w:val="003E3552"/>
    <w:rsid w:val="003E378C"/>
    <w:rsid w:val="003F0ED3"/>
    <w:rsid w:val="003F1DAB"/>
    <w:rsid w:val="003F3070"/>
    <w:rsid w:val="003F7E9E"/>
    <w:rsid w:val="00402302"/>
    <w:rsid w:val="00402B38"/>
    <w:rsid w:val="00406E2A"/>
    <w:rsid w:val="0041092A"/>
    <w:rsid w:val="00412D10"/>
    <w:rsid w:val="00412F38"/>
    <w:rsid w:val="00414801"/>
    <w:rsid w:val="00414CEA"/>
    <w:rsid w:val="004154F7"/>
    <w:rsid w:val="0041597D"/>
    <w:rsid w:val="004166A8"/>
    <w:rsid w:val="00417204"/>
    <w:rsid w:val="004173E4"/>
    <w:rsid w:val="00421CFE"/>
    <w:rsid w:val="00425CFB"/>
    <w:rsid w:val="00431924"/>
    <w:rsid w:val="00436A3E"/>
    <w:rsid w:val="0044168C"/>
    <w:rsid w:val="004438AF"/>
    <w:rsid w:val="0044590C"/>
    <w:rsid w:val="00447A83"/>
    <w:rsid w:val="00454A17"/>
    <w:rsid w:val="004566DF"/>
    <w:rsid w:val="00457180"/>
    <w:rsid w:val="004602D1"/>
    <w:rsid w:val="00460A53"/>
    <w:rsid w:val="004611F2"/>
    <w:rsid w:val="0046177A"/>
    <w:rsid w:val="004623B9"/>
    <w:rsid w:val="00463D87"/>
    <w:rsid w:val="00465236"/>
    <w:rsid w:val="00467B0F"/>
    <w:rsid w:val="004707EA"/>
    <w:rsid w:val="004754B5"/>
    <w:rsid w:val="0048130D"/>
    <w:rsid w:val="00484083"/>
    <w:rsid w:val="004848BD"/>
    <w:rsid w:val="00490516"/>
    <w:rsid w:val="00494662"/>
    <w:rsid w:val="00494F21"/>
    <w:rsid w:val="004A0954"/>
    <w:rsid w:val="004A1BE1"/>
    <w:rsid w:val="004A26E0"/>
    <w:rsid w:val="004A509E"/>
    <w:rsid w:val="004A5273"/>
    <w:rsid w:val="004A707A"/>
    <w:rsid w:val="004A7DEE"/>
    <w:rsid w:val="004B4812"/>
    <w:rsid w:val="004B4F3F"/>
    <w:rsid w:val="004B7BD6"/>
    <w:rsid w:val="004C1934"/>
    <w:rsid w:val="004C4180"/>
    <w:rsid w:val="004C7AF4"/>
    <w:rsid w:val="004D0C24"/>
    <w:rsid w:val="004D324D"/>
    <w:rsid w:val="004D41A9"/>
    <w:rsid w:val="004D640D"/>
    <w:rsid w:val="004E0078"/>
    <w:rsid w:val="004F0E9B"/>
    <w:rsid w:val="004F133E"/>
    <w:rsid w:val="004F17AC"/>
    <w:rsid w:val="004F2857"/>
    <w:rsid w:val="004F47FB"/>
    <w:rsid w:val="004F4D4A"/>
    <w:rsid w:val="004F680E"/>
    <w:rsid w:val="005031FE"/>
    <w:rsid w:val="0050389C"/>
    <w:rsid w:val="00503E5F"/>
    <w:rsid w:val="00504F42"/>
    <w:rsid w:val="00510156"/>
    <w:rsid w:val="00512B65"/>
    <w:rsid w:val="005132A4"/>
    <w:rsid w:val="00513EB0"/>
    <w:rsid w:val="00514F0F"/>
    <w:rsid w:val="0051583A"/>
    <w:rsid w:val="00516ED2"/>
    <w:rsid w:val="00521263"/>
    <w:rsid w:val="00522B74"/>
    <w:rsid w:val="005230D3"/>
    <w:rsid w:val="0052386A"/>
    <w:rsid w:val="00526147"/>
    <w:rsid w:val="0053022F"/>
    <w:rsid w:val="00535862"/>
    <w:rsid w:val="00535DE7"/>
    <w:rsid w:val="00535E5D"/>
    <w:rsid w:val="00540B1F"/>
    <w:rsid w:val="005410CD"/>
    <w:rsid w:val="0054198C"/>
    <w:rsid w:val="00542ED0"/>
    <w:rsid w:val="005430B2"/>
    <w:rsid w:val="00547202"/>
    <w:rsid w:val="00550C84"/>
    <w:rsid w:val="005521CC"/>
    <w:rsid w:val="00552D9E"/>
    <w:rsid w:val="005558EF"/>
    <w:rsid w:val="00555CEB"/>
    <w:rsid w:val="00557502"/>
    <w:rsid w:val="00561C36"/>
    <w:rsid w:val="00562811"/>
    <w:rsid w:val="0056459B"/>
    <w:rsid w:val="00565001"/>
    <w:rsid w:val="005654B2"/>
    <w:rsid w:val="00565F42"/>
    <w:rsid w:val="00566A2F"/>
    <w:rsid w:val="0057018F"/>
    <w:rsid w:val="00575256"/>
    <w:rsid w:val="00575C1D"/>
    <w:rsid w:val="005830BB"/>
    <w:rsid w:val="005830ED"/>
    <w:rsid w:val="00584C3F"/>
    <w:rsid w:val="00592675"/>
    <w:rsid w:val="00594BDF"/>
    <w:rsid w:val="005A08C7"/>
    <w:rsid w:val="005A2169"/>
    <w:rsid w:val="005A2723"/>
    <w:rsid w:val="005A3113"/>
    <w:rsid w:val="005A34B8"/>
    <w:rsid w:val="005A3B2E"/>
    <w:rsid w:val="005A5615"/>
    <w:rsid w:val="005A5AE9"/>
    <w:rsid w:val="005B1648"/>
    <w:rsid w:val="005B5777"/>
    <w:rsid w:val="005B70A7"/>
    <w:rsid w:val="005C0B71"/>
    <w:rsid w:val="005C43E7"/>
    <w:rsid w:val="005C4467"/>
    <w:rsid w:val="005C4718"/>
    <w:rsid w:val="005C4B00"/>
    <w:rsid w:val="005C6397"/>
    <w:rsid w:val="005C6513"/>
    <w:rsid w:val="005D0284"/>
    <w:rsid w:val="005D293A"/>
    <w:rsid w:val="005E2EFA"/>
    <w:rsid w:val="005E382F"/>
    <w:rsid w:val="005E435D"/>
    <w:rsid w:val="005E4E6A"/>
    <w:rsid w:val="005E50CD"/>
    <w:rsid w:val="005E6459"/>
    <w:rsid w:val="005E6533"/>
    <w:rsid w:val="005E6C83"/>
    <w:rsid w:val="005E7E68"/>
    <w:rsid w:val="005F0008"/>
    <w:rsid w:val="005F1E2C"/>
    <w:rsid w:val="005F2EC7"/>
    <w:rsid w:val="005F3667"/>
    <w:rsid w:val="005F3D13"/>
    <w:rsid w:val="00602014"/>
    <w:rsid w:val="0060201D"/>
    <w:rsid w:val="006037EE"/>
    <w:rsid w:val="006047E9"/>
    <w:rsid w:val="00606939"/>
    <w:rsid w:val="006129EC"/>
    <w:rsid w:val="0061475C"/>
    <w:rsid w:val="0062068C"/>
    <w:rsid w:val="00620C5F"/>
    <w:rsid w:val="00620F2B"/>
    <w:rsid w:val="0062202C"/>
    <w:rsid w:val="00622F0F"/>
    <w:rsid w:val="0062388A"/>
    <w:rsid w:val="00623EC2"/>
    <w:rsid w:val="00625277"/>
    <w:rsid w:val="006258CB"/>
    <w:rsid w:val="00626624"/>
    <w:rsid w:val="00626E2D"/>
    <w:rsid w:val="006308D2"/>
    <w:rsid w:val="00634D20"/>
    <w:rsid w:val="00637357"/>
    <w:rsid w:val="0064076F"/>
    <w:rsid w:val="00640F39"/>
    <w:rsid w:val="00643DFC"/>
    <w:rsid w:val="00645E5E"/>
    <w:rsid w:val="00650EFE"/>
    <w:rsid w:val="00653733"/>
    <w:rsid w:val="00654F96"/>
    <w:rsid w:val="0065771E"/>
    <w:rsid w:val="006578D6"/>
    <w:rsid w:val="00660C21"/>
    <w:rsid w:val="00660C95"/>
    <w:rsid w:val="00661DE4"/>
    <w:rsid w:val="006637C7"/>
    <w:rsid w:val="0066624E"/>
    <w:rsid w:val="006672EC"/>
    <w:rsid w:val="00667566"/>
    <w:rsid w:val="006717C1"/>
    <w:rsid w:val="00672462"/>
    <w:rsid w:val="00674A29"/>
    <w:rsid w:val="0068058C"/>
    <w:rsid w:val="00681322"/>
    <w:rsid w:val="00681E9E"/>
    <w:rsid w:val="00684489"/>
    <w:rsid w:val="00687646"/>
    <w:rsid w:val="006907C1"/>
    <w:rsid w:val="00690815"/>
    <w:rsid w:val="006922DE"/>
    <w:rsid w:val="00692C2A"/>
    <w:rsid w:val="00694BD9"/>
    <w:rsid w:val="00697708"/>
    <w:rsid w:val="006A0A52"/>
    <w:rsid w:val="006A13B7"/>
    <w:rsid w:val="006A389D"/>
    <w:rsid w:val="006A456B"/>
    <w:rsid w:val="006A5B11"/>
    <w:rsid w:val="006A795C"/>
    <w:rsid w:val="006A7BA4"/>
    <w:rsid w:val="006B1058"/>
    <w:rsid w:val="006B7415"/>
    <w:rsid w:val="006C0335"/>
    <w:rsid w:val="006C47A3"/>
    <w:rsid w:val="006C519E"/>
    <w:rsid w:val="006D0C62"/>
    <w:rsid w:val="006D18AC"/>
    <w:rsid w:val="006D224F"/>
    <w:rsid w:val="006D2510"/>
    <w:rsid w:val="006D2572"/>
    <w:rsid w:val="006D37ED"/>
    <w:rsid w:val="006D5462"/>
    <w:rsid w:val="006D6E38"/>
    <w:rsid w:val="006D7CF4"/>
    <w:rsid w:val="006E00D6"/>
    <w:rsid w:val="006E0764"/>
    <w:rsid w:val="006E0E31"/>
    <w:rsid w:val="006E419A"/>
    <w:rsid w:val="006E4950"/>
    <w:rsid w:val="006E4A22"/>
    <w:rsid w:val="006F2E96"/>
    <w:rsid w:val="006F36FF"/>
    <w:rsid w:val="006F3C56"/>
    <w:rsid w:val="006F58C5"/>
    <w:rsid w:val="0070151C"/>
    <w:rsid w:val="007032F6"/>
    <w:rsid w:val="007043A3"/>
    <w:rsid w:val="00704843"/>
    <w:rsid w:val="00705DD4"/>
    <w:rsid w:val="00715966"/>
    <w:rsid w:val="00721CE1"/>
    <w:rsid w:val="007225AF"/>
    <w:rsid w:val="00722760"/>
    <w:rsid w:val="00727976"/>
    <w:rsid w:val="0074054F"/>
    <w:rsid w:val="00741B05"/>
    <w:rsid w:val="00742C05"/>
    <w:rsid w:val="00744AB6"/>
    <w:rsid w:val="007477D7"/>
    <w:rsid w:val="007512F7"/>
    <w:rsid w:val="00751662"/>
    <w:rsid w:val="00753D9B"/>
    <w:rsid w:val="0075672B"/>
    <w:rsid w:val="00760E1F"/>
    <w:rsid w:val="00761C22"/>
    <w:rsid w:val="007652C6"/>
    <w:rsid w:val="0076633B"/>
    <w:rsid w:val="007674FA"/>
    <w:rsid w:val="00771893"/>
    <w:rsid w:val="00773BF8"/>
    <w:rsid w:val="0077428D"/>
    <w:rsid w:val="0077709E"/>
    <w:rsid w:val="007775EB"/>
    <w:rsid w:val="00783700"/>
    <w:rsid w:val="0078470D"/>
    <w:rsid w:val="00785B53"/>
    <w:rsid w:val="00792830"/>
    <w:rsid w:val="00793A0B"/>
    <w:rsid w:val="007940A6"/>
    <w:rsid w:val="00794561"/>
    <w:rsid w:val="0079497A"/>
    <w:rsid w:val="00795F36"/>
    <w:rsid w:val="007A1564"/>
    <w:rsid w:val="007A1939"/>
    <w:rsid w:val="007A6450"/>
    <w:rsid w:val="007A78FE"/>
    <w:rsid w:val="007A7F16"/>
    <w:rsid w:val="007B06DC"/>
    <w:rsid w:val="007B1D36"/>
    <w:rsid w:val="007B5BAD"/>
    <w:rsid w:val="007B71B5"/>
    <w:rsid w:val="007C1DC3"/>
    <w:rsid w:val="007D1297"/>
    <w:rsid w:val="007D2A97"/>
    <w:rsid w:val="007D3950"/>
    <w:rsid w:val="007D47FC"/>
    <w:rsid w:val="007D7C9D"/>
    <w:rsid w:val="007E2877"/>
    <w:rsid w:val="007E2FA6"/>
    <w:rsid w:val="007E66DF"/>
    <w:rsid w:val="007E786F"/>
    <w:rsid w:val="007E7BA9"/>
    <w:rsid w:val="007E7C9C"/>
    <w:rsid w:val="007F154B"/>
    <w:rsid w:val="007F46D9"/>
    <w:rsid w:val="007F47BA"/>
    <w:rsid w:val="0080368F"/>
    <w:rsid w:val="00803B3B"/>
    <w:rsid w:val="008053A4"/>
    <w:rsid w:val="0080557C"/>
    <w:rsid w:val="00811AB6"/>
    <w:rsid w:val="00813DCA"/>
    <w:rsid w:val="0081454D"/>
    <w:rsid w:val="00815D5D"/>
    <w:rsid w:val="00825D60"/>
    <w:rsid w:val="00826871"/>
    <w:rsid w:val="00827973"/>
    <w:rsid w:val="00832FF8"/>
    <w:rsid w:val="00833F0B"/>
    <w:rsid w:val="0083449F"/>
    <w:rsid w:val="00834B97"/>
    <w:rsid w:val="00835383"/>
    <w:rsid w:val="00837AD0"/>
    <w:rsid w:val="00840494"/>
    <w:rsid w:val="008407BD"/>
    <w:rsid w:val="00840C34"/>
    <w:rsid w:val="008419EB"/>
    <w:rsid w:val="00843DEF"/>
    <w:rsid w:val="0084423D"/>
    <w:rsid w:val="00844476"/>
    <w:rsid w:val="00845514"/>
    <w:rsid w:val="00847504"/>
    <w:rsid w:val="008604FE"/>
    <w:rsid w:val="00860D1E"/>
    <w:rsid w:val="00861112"/>
    <w:rsid w:val="0086172F"/>
    <w:rsid w:val="00864B46"/>
    <w:rsid w:val="008664F8"/>
    <w:rsid w:val="008668B0"/>
    <w:rsid w:val="008669C3"/>
    <w:rsid w:val="00867383"/>
    <w:rsid w:val="00870CCA"/>
    <w:rsid w:val="00876A3E"/>
    <w:rsid w:val="008771BF"/>
    <w:rsid w:val="00881B23"/>
    <w:rsid w:val="00883DD1"/>
    <w:rsid w:val="00890547"/>
    <w:rsid w:val="0089085C"/>
    <w:rsid w:val="00892D3B"/>
    <w:rsid w:val="00893091"/>
    <w:rsid w:val="00894451"/>
    <w:rsid w:val="00894EAD"/>
    <w:rsid w:val="008964A8"/>
    <w:rsid w:val="00896AAC"/>
    <w:rsid w:val="008A1437"/>
    <w:rsid w:val="008A4C05"/>
    <w:rsid w:val="008B13EF"/>
    <w:rsid w:val="008B163F"/>
    <w:rsid w:val="008B2932"/>
    <w:rsid w:val="008C1426"/>
    <w:rsid w:val="008C1AD5"/>
    <w:rsid w:val="008C2C24"/>
    <w:rsid w:val="008C2E50"/>
    <w:rsid w:val="008C3321"/>
    <w:rsid w:val="008D0351"/>
    <w:rsid w:val="008D0DA7"/>
    <w:rsid w:val="008D33BD"/>
    <w:rsid w:val="008D4D18"/>
    <w:rsid w:val="008D6857"/>
    <w:rsid w:val="008D78EB"/>
    <w:rsid w:val="008E3877"/>
    <w:rsid w:val="008E4EF7"/>
    <w:rsid w:val="008E5799"/>
    <w:rsid w:val="008E6347"/>
    <w:rsid w:val="008E6943"/>
    <w:rsid w:val="008E7929"/>
    <w:rsid w:val="008F07E1"/>
    <w:rsid w:val="008F3662"/>
    <w:rsid w:val="008F573C"/>
    <w:rsid w:val="008F58E7"/>
    <w:rsid w:val="008F59EF"/>
    <w:rsid w:val="009006B5"/>
    <w:rsid w:val="009045E5"/>
    <w:rsid w:val="00906C12"/>
    <w:rsid w:val="00913B30"/>
    <w:rsid w:val="00915E8D"/>
    <w:rsid w:val="00923CA5"/>
    <w:rsid w:val="00925FCC"/>
    <w:rsid w:val="00926807"/>
    <w:rsid w:val="00926C32"/>
    <w:rsid w:val="00927FF4"/>
    <w:rsid w:val="00930244"/>
    <w:rsid w:val="0093463B"/>
    <w:rsid w:val="00940D80"/>
    <w:rsid w:val="00941E28"/>
    <w:rsid w:val="00941F3B"/>
    <w:rsid w:val="0094218A"/>
    <w:rsid w:val="009436CC"/>
    <w:rsid w:val="00943B81"/>
    <w:rsid w:val="00950584"/>
    <w:rsid w:val="009514A8"/>
    <w:rsid w:val="00951742"/>
    <w:rsid w:val="00951A18"/>
    <w:rsid w:val="009536CF"/>
    <w:rsid w:val="009536FB"/>
    <w:rsid w:val="00953BBE"/>
    <w:rsid w:val="0095665F"/>
    <w:rsid w:val="009609F0"/>
    <w:rsid w:val="009632FC"/>
    <w:rsid w:val="009661AD"/>
    <w:rsid w:val="00967ACA"/>
    <w:rsid w:val="00967F4E"/>
    <w:rsid w:val="00975602"/>
    <w:rsid w:val="009771A1"/>
    <w:rsid w:val="00980B5D"/>
    <w:rsid w:val="00983E4C"/>
    <w:rsid w:val="00990F68"/>
    <w:rsid w:val="0099278D"/>
    <w:rsid w:val="00992C94"/>
    <w:rsid w:val="00993E3C"/>
    <w:rsid w:val="00996FB9"/>
    <w:rsid w:val="00997A90"/>
    <w:rsid w:val="009A42FA"/>
    <w:rsid w:val="009B356A"/>
    <w:rsid w:val="009B572F"/>
    <w:rsid w:val="009B7231"/>
    <w:rsid w:val="009C1220"/>
    <w:rsid w:val="009C1A8D"/>
    <w:rsid w:val="009C540A"/>
    <w:rsid w:val="009C7117"/>
    <w:rsid w:val="009D011F"/>
    <w:rsid w:val="009D0E70"/>
    <w:rsid w:val="009D3A04"/>
    <w:rsid w:val="009D3FBE"/>
    <w:rsid w:val="009D635B"/>
    <w:rsid w:val="009D65C6"/>
    <w:rsid w:val="009D69C8"/>
    <w:rsid w:val="009D6A88"/>
    <w:rsid w:val="009D76A7"/>
    <w:rsid w:val="009E1C3E"/>
    <w:rsid w:val="009E1D1A"/>
    <w:rsid w:val="009E3384"/>
    <w:rsid w:val="009E79E1"/>
    <w:rsid w:val="009F0634"/>
    <w:rsid w:val="009F1FD1"/>
    <w:rsid w:val="009F2D7A"/>
    <w:rsid w:val="009F7C2B"/>
    <w:rsid w:val="00A016C4"/>
    <w:rsid w:val="00A05FBD"/>
    <w:rsid w:val="00A14198"/>
    <w:rsid w:val="00A1442E"/>
    <w:rsid w:val="00A16AAD"/>
    <w:rsid w:val="00A17FDC"/>
    <w:rsid w:val="00A2554F"/>
    <w:rsid w:val="00A27F34"/>
    <w:rsid w:val="00A30581"/>
    <w:rsid w:val="00A31D43"/>
    <w:rsid w:val="00A333B7"/>
    <w:rsid w:val="00A34AAE"/>
    <w:rsid w:val="00A36246"/>
    <w:rsid w:val="00A37CC1"/>
    <w:rsid w:val="00A37F17"/>
    <w:rsid w:val="00A41F84"/>
    <w:rsid w:val="00A4394E"/>
    <w:rsid w:val="00A43CC2"/>
    <w:rsid w:val="00A54029"/>
    <w:rsid w:val="00A54EF3"/>
    <w:rsid w:val="00A57F3E"/>
    <w:rsid w:val="00A641FB"/>
    <w:rsid w:val="00A6583C"/>
    <w:rsid w:val="00A70072"/>
    <w:rsid w:val="00A72EA5"/>
    <w:rsid w:val="00A73685"/>
    <w:rsid w:val="00A74F07"/>
    <w:rsid w:val="00A762B0"/>
    <w:rsid w:val="00A8015C"/>
    <w:rsid w:val="00A80F1E"/>
    <w:rsid w:val="00A814EB"/>
    <w:rsid w:val="00A82B3A"/>
    <w:rsid w:val="00A84F10"/>
    <w:rsid w:val="00A852E8"/>
    <w:rsid w:val="00A8559D"/>
    <w:rsid w:val="00A86668"/>
    <w:rsid w:val="00A923DC"/>
    <w:rsid w:val="00A92C0A"/>
    <w:rsid w:val="00A93153"/>
    <w:rsid w:val="00A933C8"/>
    <w:rsid w:val="00A938F8"/>
    <w:rsid w:val="00A967DA"/>
    <w:rsid w:val="00AA040B"/>
    <w:rsid w:val="00AA15EB"/>
    <w:rsid w:val="00AA7DD6"/>
    <w:rsid w:val="00AB1934"/>
    <w:rsid w:val="00AB28CA"/>
    <w:rsid w:val="00AB60FA"/>
    <w:rsid w:val="00AB7FCB"/>
    <w:rsid w:val="00AC1D55"/>
    <w:rsid w:val="00AC381D"/>
    <w:rsid w:val="00AC4936"/>
    <w:rsid w:val="00AC5B93"/>
    <w:rsid w:val="00AC6920"/>
    <w:rsid w:val="00AC72B2"/>
    <w:rsid w:val="00AC7FAB"/>
    <w:rsid w:val="00AD1B70"/>
    <w:rsid w:val="00AD2727"/>
    <w:rsid w:val="00AD61E8"/>
    <w:rsid w:val="00AD6426"/>
    <w:rsid w:val="00AD769D"/>
    <w:rsid w:val="00AD7D00"/>
    <w:rsid w:val="00AE16AD"/>
    <w:rsid w:val="00AE46B2"/>
    <w:rsid w:val="00AE59BF"/>
    <w:rsid w:val="00AF10FB"/>
    <w:rsid w:val="00AF264A"/>
    <w:rsid w:val="00AF3C8B"/>
    <w:rsid w:val="00AF7C3D"/>
    <w:rsid w:val="00B00BA4"/>
    <w:rsid w:val="00B0121C"/>
    <w:rsid w:val="00B01761"/>
    <w:rsid w:val="00B018D6"/>
    <w:rsid w:val="00B02044"/>
    <w:rsid w:val="00B0394C"/>
    <w:rsid w:val="00B07C5B"/>
    <w:rsid w:val="00B07D4B"/>
    <w:rsid w:val="00B102F0"/>
    <w:rsid w:val="00B111B2"/>
    <w:rsid w:val="00B12712"/>
    <w:rsid w:val="00B14E25"/>
    <w:rsid w:val="00B220A9"/>
    <w:rsid w:val="00B22225"/>
    <w:rsid w:val="00B236C6"/>
    <w:rsid w:val="00B23A1D"/>
    <w:rsid w:val="00B25E57"/>
    <w:rsid w:val="00B27007"/>
    <w:rsid w:val="00B341F8"/>
    <w:rsid w:val="00B370EB"/>
    <w:rsid w:val="00B379BD"/>
    <w:rsid w:val="00B422A1"/>
    <w:rsid w:val="00B42707"/>
    <w:rsid w:val="00B44BBC"/>
    <w:rsid w:val="00B50FCB"/>
    <w:rsid w:val="00B51736"/>
    <w:rsid w:val="00B55CE8"/>
    <w:rsid w:val="00B65D10"/>
    <w:rsid w:val="00B664CB"/>
    <w:rsid w:val="00B6659A"/>
    <w:rsid w:val="00B6732C"/>
    <w:rsid w:val="00B72F93"/>
    <w:rsid w:val="00B76EE1"/>
    <w:rsid w:val="00B77897"/>
    <w:rsid w:val="00B83A6C"/>
    <w:rsid w:val="00B85133"/>
    <w:rsid w:val="00B9153C"/>
    <w:rsid w:val="00B91B50"/>
    <w:rsid w:val="00B9411C"/>
    <w:rsid w:val="00B94FDB"/>
    <w:rsid w:val="00B95077"/>
    <w:rsid w:val="00B96CC1"/>
    <w:rsid w:val="00BA081F"/>
    <w:rsid w:val="00BA097B"/>
    <w:rsid w:val="00BA73B3"/>
    <w:rsid w:val="00BB1515"/>
    <w:rsid w:val="00BB1648"/>
    <w:rsid w:val="00BB294F"/>
    <w:rsid w:val="00BB37DD"/>
    <w:rsid w:val="00BB6BAF"/>
    <w:rsid w:val="00BC059A"/>
    <w:rsid w:val="00BC0FAA"/>
    <w:rsid w:val="00BC2380"/>
    <w:rsid w:val="00BC2F24"/>
    <w:rsid w:val="00BC4FA4"/>
    <w:rsid w:val="00BC6698"/>
    <w:rsid w:val="00BC6C47"/>
    <w:rsid w:val="00BC7317"/>
    <w:rsid w:val="00BC78DA"/>
    <w:rsid w:val="00BD6316"/>
    <w:rsid w:val="00BD753C"/>
    <w:rsid w:val="00BD7CDE"/>
    <w:rsid w:val="00BD7D28"/>
    <w:rsid w:val="00BE368E"/>
    <w:rsid w:val="00BE36BD"/>
    <w:rsid w:val="00BE6EC4"/>
    <w:rsid w:val="00BF2911"/>
    <w:rsid w:val="00BF2AAB"/>
    <w:rsid w:val="00BF2C0A"/>
    <w:rsid w:val="00BF6D6D"/>
    <w:rsid w:val="00BF704F"/>
    <w:rsid w:val="00C05155"/>
    <w:rsid w:val="00C116D2"/>
    <w:rsid w:val="00C13337"/>
    <w:rsid w:val="00C13416"/>
    <w:rsid w:val="00C14958"/>
    <w:rsid w:val="00C1767B"/>
    <w:rsid w:val="00C2205C"/>
    <w:rsid w:val="00C23789"/>
    <w:rsid w:val="00C24B96"/>
    <w:rsid w:val="00C2700A"/>
    <w:rsid w:val="00C271D0"/>
    <w:rsid w:val="00C278C6"/>
    <w:rsid w:val="00C30127"/>
    <w:rsid w:val="00C30B19"/>
    <w:rsid w:val="00C32856"/>
    <w:rsid w:val="00C33612"/>
    <w:rsid w:val="00C339F9"/>
    <w:rsid w:val="00C344FC"/>
    <w:rsid w:val="00C356BB"/>
    <w:rsid w:val="00C40156"/>
    <w:rsid w:val="00C41C93"/>
    <w:rsid w:val="00C4583F"/>
    <w:rsid w:val="00C47A31"/>
    <w:rsid w:val="00C53CA3"/>
    <w:rsid w:val="00C54872"/>
    <w:rsid w:val="00C555CD"/>
    <w:rsid w:val="00C55A15"/>
    <w:rsid w:val="00C56BC7"/>
    <w:rsid w:val="00C5735F"/>
    <w:rsid w:val="00C622F9"/>
    <w:rsid w:val="00C624C3"/>
    <w:rsid w:val="00C62723"/>
    <w:rsid w:val="00C65B42"/>
    <w:rsid w:val="00C66E5C"/>
    <w:rsid w:val="00C67E10"/>
    <w:rsid w:val="00C702B2"/>
    <w:rsid w:val="00C718EA"/>
    <w:rsid w:val="00C7287A"/>
    <w:rsid w:val="00C75AAC"/>
    <w:rsid w:val="00C778B4"/>
    <w:rsid w:val="00C77C4E"/>
    <w:rsid w:val="00C819A6"/>
    <w:rsid w:val="00C81BCE"/>
    <w:rsid w:val="00C82CB7"/>
    <w:rsid w:val="00C8662F"/>
    <w:rsid w:val="00C86DCE"/>
    <w:rsid w:val="00C953DA"/>
    <w:rsid w:val="00C95E3F"/>
    <w:rsid w:val="00C95F57"/>
    <w:rsid w:val="00C97E66"/>
    <w:rsid w:val="00CA0881"/>
    <w:rsid w:val="00CA0A2C"/>
    <w:rsid w:val="00CA169E"/>
    <w:rsid w:val="00CA2078"/>
    <w:rsid w:val="00CA3436"/>
    <w:rsid w:val="00CA544C"/>
    <w:rsid w:val="00CA5B69"/>
    <w:rsid w:val="00CA5DF7"/>
    <w:rsid w:val="00CB16CA"/>
    <w:rsid w:val="00CB360E"/>
    <w:rsid w:val="00CB45AF"/>
    <w:rsid w:val="00CB7546"/>
    <w:rsid w:val="00CB756E"/>
    <w:rsid w:val="00CB771F"/>
    <w:rsid w:val="00CD1EE2"/>
    <w:rsid w:val="00CD4981"/>
    <w:rsid w:val="00CD67B4"/>
    <w:rsid w:val="00CE0648"/>
    <w:rsid w:val="00CE09F4"/>
    <w:rsid w:val="00CE0C14"/>
    <w:rsid w:val="00CE0EF5"/>
    <w:rsid w:val="00CE2D22"/>
    <w:rsid w:val="00CE35BC"/>
    <w:rsid w:val="00CE3818"/>
    <w:rsid w:val="00CE45C5"/>
    <w:rsid w:val="00CE5E19"/>
    <w:rsid w:val="00CE6144"/>
    <w:rsid w:val="00CE6A6B"/>
    <w:rsid w:val="00CE6E95"/>
    <w:rsid w:val="00CF4C68"/>
    <w:rsid w:val="00CF5324"/>
    <w:rsid w:val="00CF6252"/>
    <w:rsid w:val="00CF71B0"/>
    <w:rsid w:val="00D12122"/>
    <w:rsid w:val="00D128BB"/>
    <w:rsid w:val="00D12BB2"/>
    <w:rsid w:val="00D149B7"/>
    <w:rsid w:val="00D15FF1"/>
    <w:rsid w:val="00D20BA6"/>
    <w:rsid w:val="00D21155"/>
    <w:rsid w:val="00D21CBE"/>
    <w:rsid w:val="00D2391B"/>
    <w:rsid w:val="00D27BF0"/>
    <w:rsid w:val="00D31974"/>
    <w:rsid w:val="00D32D84"/>
    <w:rsid w:val="00D36E98"/>
    <w:rsid w:val="00D37513"/>
    <w:rsid w:val="00D41D58"/>
    <w:rsid w:val="00D433ED"/>
    <w:rsid w:val="00D4576A"/>
    <w:rsid w:val="00D50170"/>
    <w:rsid w:val="00D50BE1"/>
    <w:rsid w:val="00D513C6"/>
    <w:rsid w:val="00D51ACB"/>
    <w:rsid w:val="00D56FBC"/>
    <w:rsid w:val="00D62388"/>
    <w:rsid w:val="00D6394F"/>
    <w:rsid w:val="00D7291B"/>
    <w:rsid w:val="00D76175"/>
    <w:rsid w:val="00D773F4"/>
    <w:rsid w:val="00D83504"/>
    <w:rsid w:val="00D863D5"/>
    <w:rsid w:val="00D864DB"/>
    <w:rsid w:val="00D87053"/>
    <w:rsid w:val="00D87D78"/>
    <w:rsid w:val="00D92BD6"/>
    <w:rsid w:val="00D963A2"/>
    <w:rsid w:val="00D965AB"/>
    <w:rsid w:val="00D96610"/>
    <w:rsid w:val="00D9675E"/>
    <w:rsid w:val="00DA25FE"/>
    <w:rsid w:val="00DA2A08"/>
    <w:rsid w:val="00DA3332"/>
    <w:rsid w:val="00DA4130"/>
    <w:rsid w:val="00DA4EE9"/>
    <w:rsid w:val="00DB00EB"/>
    <w:rsid w:val="00DB2FCD"/>
    <w:rsid w:val="00DB4B59"/>
    <w:rsid w:val="00DB5159"/>
    <w:rsid w:val="00DB6383"/>
    <w:rsid w:val="00DB7606"/>
    <w:rsid w:val="00DC0569"/>
    <w:rsid w:val="00DC574C"/>
    <w:rsid w:val="00DC5A81"/>
    <w:rsid w:val="00DD0E09"/>
    <w:rsid w:val="00DD1487"/>
    <w:rsid w:val="00DD28C2"/>
    <w:rsid w:val="00DD30B0"/>
    <w:rsid w:val="00DD5F8E"/>
    <w:rsid w:val="00DD70CA"/>
    <w:rsid w:val="00DE0271"/>
    <w:rsid w:val="00DE4110"/>
    <w:rsid w:val="00DE7D6E"/>
    <w:rsid w:val="00DF09DF"/>
    <w:rsid w:val="00DF23DB"/>
    <w:rsid w:val="00E013A4"/>
    <w:rsid w:val="00E01817"/>
    <w:rsid w:val="00E04896"/>
    <w:rsid w:val="00E10184"/>
    <w:rsid w:val="00E11232"/>
    <w:rsid w:val="00E2125D"/>
    <w:rsid w:val="00E24C27"/>
    <w:rsid w:val="00E25381"/>
    <w:rsid w:val="00E275F7"/>
    <w:rsid w:val="00E406AD"/>
    <w:rsid w:val="00E5193B"/>
    <w:rsid w:val="00E53C07"/>
    <w:rsid w:val="00E54DEB"/>
    <w:rsid w:val="00E56616"/>
    <w:rsid w:val="00E57293"/>
    <w:rsid w:val="00E64B29"/>
    <w:rsid w:val="00E67430"/>
    <w:rsid w:val="00E750B9"/>
    <w:rsid w:val="00E75C62"/>
    <w:rsid w:val="00E80014"/>
    <w:rsid w:val="00E814BB"/>
    <w:rsid w:val="00E833A3"/>
    <w:rsid w:val="00E84144"/>
    <w:rsid w:val="00E87108"/>
    <w:rsid w:val="00E90449"/>
    <w:rsid w:val="00E908C4"/>
    <w:rsid w:val="00E90A43"/>
    <w:rsid w:val="00E94517"/>
    <w:rsid w:val="00E95789"/>
    <w:rsid w:val="00EA0B6B"/>
    <w:rsid w:val="00EA2E29"/>
    <w:rsid w:val="00EA3CC8"/>
    <w:rsid w:val="00EA494C"/>
    <w:rsid w:val="00EA4C9E"/>
    <w:rsid w:val="00EA7CBE"/>
    <w:rsid w:val="00EB0B5D"/>
    <w:rsid w:val="00EB2F28"/>
    <w:rsid w:val="00EB76F7"/>
    <w:rsid w:val="00EC14D9"/>
    <w:rsid w:val="00EC3990"/>
    <w:rsid w:val="00EC67F7"/>
    <w:rsid w:val="00EC70C5"/>
    <w:rsid w:val="00ED0498"/>
    <w:rsid w:val="00ED1B6D"/>
    <w:rsid w:val="00ED3C54"/>
    <w:rsid w:val="00ED4281"/>
    <w:rsid w:val="00ED4990"/>
    <w:rsid w:val="00EE0148"/>
    <w:rsid w:val="00EE109C"/>
    <w:rsid w:val="00EE3572"/>
    <w:rsid w:val="00EE3828"/>
    <w:rsid w:val="00EE5DE2"/>
    <w:rsid w:val="00EE79A3"/>
    <w:rsid w:val="00EF239E"/>
    <w:rsid w:val="00EF269A"/>
    <w:rsid w:val="00EF38AA"/>
    <w:rsid w:val="00EF3DD5"/>
    <w:rsid w:val="00EF685F"/>
    <w:rsid w:val="00F006FB"/>
    <w:rsid w:val="00F07AEF"/>
    <w:rsid w:val="00F11241"/>
    <w:rsid w:val="00F12915"/>
    <w:rsid w:val="00F14E92"/>
    <w:rsid w:val="00F16BB2"/>
    <w:rsid w:val="00F2038A"/>
    <w:rsid w:val="00F224B9"/>
    <w:rsid w:val="00F236BF"/>
    <w:rsid w:val="00F24775"/>
    <w:rsid w:val="00F266C6"/>
    <w:rsid w:val="00F27EA7"/>
    <w:rsid w:val="00F31641"/>
    <w:rsid w:val="00F3180A"/>
    <w:rsid w:val="00F36879"/>
    <w:rsid w:val="00F371C8"/>
    <w:rsid w:val="00F40586"/>
    <w:rsid w:val="00F41689"/>
    <w:rsid w:val="00F452F2"/>
    <w:rsid w:val="00F46A0E"/>
    <w:rsid w:val="00F542D8"/>
    <w:rsid w:val="00F605BF"/>
    <w:rsid w:val="00F62083"/>
    <w:rsid w:val="00F66470"/>
    <w:rsid w:val="00F674C7"/>
    <w:rsid w:val="00F7235C"/>
    <w:rsid w:val="00F74496"/>
    <w:rsid w:val="00F75AAD"/>
    <w:rsid w:val="00F77B27"/>
    <w:rsid w:val="00F80ED1"/>
    <w:rsid w:val="00F818B4"/>
    <w:rsid w:val="00F830E6"/>
    <w:rsid w:val="00F84FE9"/>
    <w:rsid w:val="00F8510E"/>
    <w:rsid w:val="00F875A8"/>
    <w:rsid w:val="00F909C1"/>
    <w:rsid w:val="00F93D46"/>
    <w:rsid w:val="00F95767"/>
    <w:rsid w:val="00F96B76"/>
    <w:rsid w:val="00F96BFF"/>
    <w:rsid w:val="00F96E7E"/>
    <w:rsid w:val="00F97091"/>
    <w:rsid w:val="00F9755D"/>
    <w:rsid w:val="00FA1C8E"/>
    <w:rsid w:val="00FA48BB"/>
    <w:rsid w:val="00FA49F3"/>
    <w:rsid w:val="00FA5A02"/>
    <w:rsid w:val="00FA7850"/>
    <w:rsid w:val="00FA7EFF"/>
    <w:rsid w:val="00FB04E8"/>
    <w:rsid w:val="00FB11FE"/>
    <w:rsid w:val="00FB36B8"/>
    <w:rsid w:val="00FB3A28"/>
    <w:rsid w:val="00FB4DD5"/>
    <w:rsid w:val="00FB5794"/>
    <w:rsid w:val="00FB6D68"/>
    <w:rsid w:val="00FC03A1"/>
    <w:rsid w:val="00FC1301"/>
    <w:rsid w:val="00FC43C9"/>
    <w:rsid w:val="00FC62AF"/>
    <w:rsid w:val="00FC6B02"/>
    <w:rsid w:val="00FC7A45"/>
    <w:rsid w:val="00FC7B2B"/>
    <w:rsid w:val="00FD58A0"/>
    <w:rsid w:val="00FD68AB"/>
    <w:rsid w:val="00FD7007"/>
    <w:rsid w:val="00FE6F76"/>
    <w:rsid w:val="00FF06A4"/>
    <w:rsid w:val="00FF13F8"/>
    <w:rsid w:val="00FF3423"/>
    <w:rsid w:val="00FF43C3"/>
    <w:rsid w:val="00FF47DF"/>
    <w:rsid w:val="00FF4D6A"/>
    <w:rsid w:val="00FF605C"/>
    <w:rsid w:val="00FF6A16"/>
    <w:rsid w:val="00FF6ECE"/>
    <w:rsid w:val="00FF788F"/>
    <w:rsid w:val="07727B17"/>
    <w:rsid w:val="19B2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3798</Words>
  <Characters>4268</Characters>
  <Lines>32</Lines>
  <Paragraphs>9</Paragraphs>
  <TotalTime>1</TotalTime>
  <ScaleCrop>false</ScaleCrop>
  <LinksUpToDate>false</LinksUpToDate>
  <CharactersWithSpaces>4271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2019-02-02T02:40:00Z</dcterms:created>
  <dc:creator>王少珣</dc:creator>
  <cp:lastModifiedBy>郝延华</cp:lastModifiedBy>
  <dcterms:modified xsi:type="dcterms:W3CDTF">2023-06-29T02:14:24Z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7BC69D312C3B44F294CD34ECA5FCFF8D_12</vt:lpwstr>
  </property>
</Properties>
</file>