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firstLineChars="300"/>
        <w:rPr>
          <w:rFonts w:hint="eastAsia" w:ascii="仿宋" w:hAnsi="仿宋" w:eastAsia="仿宋" w:cs="仿宋"/>
          <w:sz w:val="36"/>
          <w:szCs w:val="36"/>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西安市未央区汉城街道办事处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2020年部门综合预算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Fonts w:hint="eastAsia" w:ascii="微软雅黑" w:hAnsi="微软雅黑" w:eastAsia="微软雅黑" w:cs="微软雅黑"/>
          <w:i w:val="0"/>
          <w:iCs w:val="0"/>
          <w:caps w:val="0"/>
          <w:color w:val="333333"/>
          <w:spacing w:val="0"/>
          <w:sz w:val="27"/>
          <w:szCs w:val="27"/>
          <w:shd w:val="clear" w:fill="FFFFFF"/>
          <w:lang w:val="en-US" w:eastAsia="zh-CN"/>
        </w:rPr>
        <w:t xml:space="preserve">                 </w:t>
      </w:r>
      <w:r>
        <w:rPr>
          <w:rFonts w:hint="eastAsia" w:ascii="微软雅黑" w:hAnsi="微软雅黑" w:eastAsia="微软雅黑" w:cs="微软雅黑"/>
          <w:i w:val="0"/>
          <w:iCs w:val="0"/>
          <w:caps w:val="0"/>
          <w:color w:val="333333"/>
          <w:spacing w:val="0"/>
          <w:sz w:val="27"/>
          <w:szCs w:val="27"/>
          <w:shd w:val="clear" w:fill="FFFFFF"/>
        </w:rPr>
        <w:t xml:space="preserve"> 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第一部分 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一、部门主要职责及机构设置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二、2020年年度部门工作任务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四、部门人员情况说明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第二部分 收支情况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五、2020年部门预算收支说明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第三部分 其他说明情况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六、部门预算“三公”经费等情况说明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七、部门国有资产占有使用及资产购置情况说明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八、部门政府采购情况说明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九、部门预算绩效目标说明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十、机关运行经费安排说明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十一、专业名词解释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第四部分 公开报表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（具体部门预算公开报表）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3080" w:firstLineChars="110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shd w:val="clear" w:fill="FFFFFF"/>
        </w:rPr>
        <w:t>第一部分 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一、部门主要职责及机构设置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根据国家有关规定和未央区人民政府有关工作部门委托，结合地区实际，汉城街道办事处在本辖区内履行下列职责：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一、宣传贯彻落实党和政府的各项方针、政策，根据国家的政策、法令和上级政府的决定，制定在本地区实施的具体方案和办法。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二、制定并组织实施地区经济发展规划，推动、帮助农村和城市社会经济发展。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三、指导和帮助农村村民委员会、城市居民委员会工作及人民调解工作。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四、负责辖区市容环境卫生、绿化工作，组织农村村民委员会、驻地单位和城乡居民开展爱国卫生运动。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五、监督管理城乡居民区环境保护与环境污染防治。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六、组织农村、驻地单位和城乡居民开展农村村容、城市社区建设，繁荣城乡文化，发展城乡教育、科技、卫生、体育等服务事业。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七、组织开展好群众性的精神文明创建活动以及开展科普活动。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八、搞好待业人员管理、劳动就业推荐，组织防灾救灾、社会救助，做好社会保障工作。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九、反映城乡居民的意见和要求，处理群众来信来访事项。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十、搞好社会治安综合治理，维护地区稳定；完成区委、区政府交办的其他工作。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街道下设：党政办公室、党建科、综合发展科（招商引资办公室）、财务结算中心、社区服务中心、环境卫生管理所（治污减霾办）、便民服务中心、司法所（综治信访科）、安全监督科、城市管理科、社会事务科（计划生育科）等11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二、2020年度部门工作任务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2020年，街道的总体工作思路是：深入学习贯彻习近平新时代中国特色社会主义思想和党的十九大精神，按照“追赶超越”定位和“五个扎实”要求，围绕未央建设国家中心城市中心城区的奋斗目标，紧扣区委、区政府总体部署和要求，坚持稳中求进工作总基调，以“五个环境”建设为总抓手，突出问题导向、加快补齐短板，奋力谱写新时代汉城经济社会发展新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按照区委、区纪委党风廉政建设和反腐败工作的新部署、新要求，全面落实主体责任，定期听取情况汇报，分析研判全街道党风廉政建设形势，制定目标计划，每年至少召开四次党委会议专题研究党风廉政建设，协调解决困难和问题，推进部署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研究制定“三个年”建设实施方案，建立抓基层党建，健全作风建设长效机制，坚持常态化监督检查；促进党组织“弱化”“虚化”，重“痕”不重“绩”等突出问题得到有效解决，努力形成聚精会神抓党建促提升的良好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聚焦“村级班子美、党员队伍美、组织生活美、工作机制美、作用发挥美”的“五个美”目标，提升阵地建设、队伍建设和规范化建设；规范落“四议两公开”等民主议事决策机制，规范“三务公开”，落实“问题墙+回音壁”等制度，提高为民服务规范化水平；推进“民情大数据地图”常态化应用，广泛开展为民服务代理活动，形成“用数据服务、用数据管理、用数据决策”的基层社会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配合加快社区办公用房建设，按照“两委一站”的工作格局和“一厅五室”的布局，完善功能，指导规范制度上墙，配齐办公设备；指导督促各社区抓党建推行社区治理“社长制”、“三长三员”网格化管理等工作落实；深化在职党员到社区报到，持续推行党员服务承诺制、积分制，广泛开展各类党员服务活动；严格按照“五化”(硬件建设标准化、工作队伍专业化、党务工作规范化、社区治理信息化、社区服务精准化)标准，指导规范各社区党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五、保障好朱宏路快速化改造项目、第四污水厂提标、西北片区集中供热等6个在建重点项目和3个前期重点项目的施工环境，推动汉都中学加快建设速度，全面完成年度投资任务。消除疫情对辖区企业带来的不利影响，送政策送服务，最大限度拉动经济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六、全面摸排梳理辖区的可用土地，围绕北三环沿线地块积极走出去争取好项目、大项目落户；围绕朱宏路沿线地块结合规划提升努力吸引产业关联度高、带动能力强的项目落户；围绕汉长安城遗址区内地块，通过土地流转高标准策划积极争取文旅和设施农业项目落户；围绕城改商业用房，组织开展“楼宇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七、结合“文化旅游三年行动”，划设石化大道、丰产路、风景路等“三个片区”。在石化大道，着力打造海荣·丝路农业产业科技观光园项目；在丰产路，着力打造以宣平里都市田园综合体、巨坤花卉、宿根苗木等为代表花卉观光项目；在风景路，着力打造汉风·创客小镇项目。通过培育，争取连线成片，大力推动衍生“民宿经济”做足文化+、旅游+大文章，加快遗址区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八、齐心协力抓征管，一是密切关注国家宏观调控政策对我街道税收收入的影响，搞好税源监控，把握先机，主动应对，确保财政收入任务超额完成。二是做到每个季度和税务所对辖区内的纳税大户走访一遍，及时掌握各单位的经营状况。三是加大外协税款工作力度，尽可能从外区协调回税款，补充税源不足的问题。四是定期和协税护税单位进行信息沟通，及时和相关部门将新落地项目税收关系纳入本辖区管理。五是架起企业与银行之间的桥梁，为企业资金方面做好与银行的保障。六是加大与区财政局、税务局的对接协调、灵通信息、及时调整工作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九、严格制度强管理，一是准确掌握新会计制度的精神、原则和各项具体规定，按照新会计制度调整完善街道财务管理制度。二是强化行政支出管理，努力降低行政成本，规范街道财政支出范围、支出标准和审批程序，实行财政财务工作定期联系机制，每月和各科室对接一次收入支出安排，提前介入，按照“保重点，促发展”的原则，合理安排资金运转，提高财政资金使用效益。三是强化村、社区账务管理，按时完成财务公开；强化专项资金管理。确保各专项资金专款专用；做好预算资金的统筹使用，是资金作用最大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从预算单位构成看，本部门的部门预算包括部门本级（机关）预算和所属事业单位预算。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纳入本部门2020年部门预算编制范围的二级预算单位共有6个，包括：</w:t>
      </w:r>
    </w:p>
    <w:tbl>
      <w:tblPr>
        <w:tblStyle w:val="3"/>
        <w:tblpPr w:leftFromText="180" w:rightFromText="180" w:vertAnchor="text" w:horzAnchor="page" w:tblpX="3689" w:tblpY="939"/>
        <w:tblOverlap w:val="never"/>
        <w:tblW w:w="0" w:type="auto"/>
        <w:tblInd w:w="0" w:type="dxa"/>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0"/>
        <w:gridCol w:w="4170"/>
      </w:tblGrid>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序号</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单位名称</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1</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未央区汉城街道本级（机关）</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2</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汉城街道劳动保障所</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3</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汉城街道社区服务站</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4</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汉城街道计划生育服务站</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5</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汉城街道司法所</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6</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30"/>
                <w:szCs w:val="30"/>
              </w:rPr>
            </w:pPr>
            <w:r>
              <w:rPr>
                <w:rFonts w:hint="eastAsia" w:ascii="微软雅黑" w:hAnsi="微软雅黑" w:eastAsia="微软雅黑" w:cs="微软雅黑"/>
                <w:i w:val="0"/>
                <w:iCs w:val="0"/>
                <w:caps w:val="0"/>
                <w:color w:val="333333"/>
                <w:spacing w:val="0"/>
                <w:sz w:val="30"/>
                <w:szCs w:val="30"/>
              </w:rPr>
              <w:t>汉城街道经济发展科</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right="0"/>
        <w:rPr>
          <w:rFonts w:hint="eastAsia" w:ascii="微软雅黑" w:hAnsi="微软雅黑" w:eastAsia="微软雅黑" w:cs="微软雅黑"/>
          <w:i w:val="0"/>
          <w:iCs w:val="0"/>
          <w:caps w:val="0"/>
          <w:color w:val="333333"/>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right="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四、部门人员情况说明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截止2019年底，本部门人员编制63人，其中行政编制29人、事业编制34人；实有人员60人，其中行政27人、事业33人。单位管理的离退休人员28人。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drawing>
          <wp:inline distT="0" distB="0" distL="114300" distR="114300">
            <wp:extent cx="4933950" cy="3571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933950" cy="35718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2970" w:firstLineChars="110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第二部分 收支情况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五、2020年部门预算收支说明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（一）收支预算总体情况。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810" w:firstLineChars="30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按照综合预算的原则，本部门所有收入和支出均纳入部门预算管理，</w:t>
      </w:r>
      <w:r>
        <w:rPr>
          <w:rFonts w:hint="eastAsia" w:ascii="微软雅黑" w:hAnsi="微软雅黑" w:eastAsia="微软雅黑" w:cs="微软雅黑"/>
          <w:i w:val="0"/>
          <w:iCs w:val="0"/>
          <w:caps w:val="0"/>
          <w:color w:val="333333"/>
          <w:spacing w:val="0"/>
          <w:sz w:val="27"/>
          <w:szCs w:val="27"/>
          <w:shd w:val="clear" w:fill="FFFFFF"/>
        </w:rPr>
        <w:t>2020年本部门预算收入6811.08万元，其中一般公共预算拨款收入6467.86万元、上级补助收入343.22万元，2020年本部门预算收入较上年减少60.23万元，主要原因是基本支出减少、压缩了一般公务支出；2020年本部门预算支出6811.08万元，其中一般公共预算拨款支出6467.86万元、上级补助支出343.22万元，2020年本部门预算支出较上年减少60.23万元，主要原因是基本支出减少、压缩了一般公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（二）财政拨款收支情况。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2020年本部门财政拨款收入6467.86万元，其中一般公共预算拨款收入6467.86万元，2020年本部门预算收入较上年减少403.45万元，主要原因是基本支出减少；2020年本部门财政拨款支出6467.86万元，其中一般公共预算拨款支出6467.86万元，2020年本部门财政拨款支出较上年减少403.45万元，主要原因是基本支出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（三）一般公共预算拨款支出明细情况。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1.一般公共预算当年拨款规模变化情况。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2020年本部门一般公共预算拨款支出6467.86万元，较上年减少403.45万元，主要原因是基本支出减少。</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支出按功能科目分类的明细情况。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本部门2020年当年一般公共预算支出</w:t>
      </w:r>
      <w:r>
        <w:rPr>
          <w:rFonts w:hint="eastAsia" w:ascii="微软雅黑" w:hAnsi="微软雅黑" w:eastAsia="微软雅黑" w:cs="微软雅黑"/>
          <w:i w:val="0"/>
          <w:iCs w:val="0"/>
          <w:caps w:val="0"/>
          <w:color w:val="333333"/>
          <w:spacing w:val="0"/>
          <w:sz w:val="27"/>
          <w:szCs w:val="27"/>
          <w:shd w:val="clear" w:fill="FFFFFF"/>
          <w:lang w:val="en-US" w:eastAsia="zh-CN"/>
        </w:rPr>
        <w:t>6467.86</w:t>
      </w:r>
      <w:r>
        <w:rPr>
          <w:rFonts w:hint="eastAsia" w:ascii="微软雅黑" w:hAnsi="微软雅黑" w:eastAsia="微软雅黑" w:cs="微软雅黑"/>
          <w:i w:val="0"/>
          <w:iCs w:val="0"/>
          <w:caps w:val="0"/>
          <w:color w:val="333333"/>
          <w:spacing w:val="0"/>
          <w:sz w:val="27"/>
          <w:szCs w:val="27"/>
          <w:shd w:val="clear" w:fill="FFFFFF"/>
        </w:rPr>
        <w:t>万元，其中：</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一般公共服务支出</w:t>
      </w:r>
      <w:r>
        <w:rPr>
          <w:rFonts w:hint="eastAsia" w:ascii="微软雅黑" w:hAnsi="微软雅黑" w:eastAsia="微软雅黑" w:cs="微软雅黑"/>
          <w:i w:val="0"/>
          <w:iCs w:val="0"/>
          <w:caps w:val="0"/>
          <w:color w:val="333333"/>
          <w:spacing w:val="0"/>
          <w:sz w:val="27"/>
          <w:szCs w:val="27"/>
          <w:shd w:val="clear" w:fill="FFFFFF"/>
          <w:lang w:val="en-US" w:eastAsia="zh-CN"/>
        </w:rPr>
        <w:t>406.24</w:t>
      </w:r>
      <w:r>
        <w:rPr>
          <w:rFonts w:hint="eastAsia" w:ascii="微软雅黑" w:hAnsi="微软雅黑" w:eastAsia="微软雅黑" w:cs="微软雅黑"/>
          <w:i w:val="0"/>
          <w:iCs w:val="0"/>
          <w:caps w:val="0"/>
          <w:color w:val="333333"/>
          <w:spacing w:val="0"/>
          <w:sz w:val="27"/>
          <w:szCs w:val="27"/>
          <w:shd w:val="clear" w:fill="FFFFFF"/>
        </w:rPr>
        <w:t>万元，较上年增减少</w:t>
      </w:r>
      <w:r>
        <w:rPr>
          <w:rFonts w:hint="eastAsia" w:ascii="微软雅黑" w:hAnsi="微软雅黑" w:eastAsia="微软雅黑" w:cs="微软雅黑"/>
          <w:i w:val="0"/>
          <w:iCs w:val="0"/>
          <w:caps w:val="0"/>
          <w:color w:val="333333"/>
          <w:spacing w:val="0"/>
          <w:sz w:val="27"/>
          <w:szCs w:val="27"/>
          <w:shd w:val="clear" w:fill="FFFFFF"/>
          <w:lang w:val="en-US" w:eastAsia="zh-CN"/>
        </w:rPr>
        <w:t>35.7</w:t>
      </w:r>
      <w:r>
        <w:rPr>
          <w:rFonts w:hint="eastAsia" w:ascii="微软雅黑" w:hAnsi="微软雅黑" w:eastAsia="微软雅黑" w:cs="微软雅黑"/>
          <w:i w:val="0"/>
          <w:iCs w:val="0"/>
          <w:caps w:val="0"/>
          <w:color w:val="333333"/>
          <w:spacing w:val="0"/>
          <w:sz w:val="27"/>
          <w:szCs w:val="27"/>
          <w:shd w:val="clear" w:fill="FFFFFF"/>
        </w:rPr>
        <w:t>万元，原因是</w:t>
      </w:r>
      <w:r>
        <w:rPr>
          <w:rFonts w:hint="eastAsia" w:ascii="微软雅黑" w:hAnsi="微软雅黑" w:eastAsia="微软雅黑" w:cs="微软雅黑"/>
          <w:i w:val="0"/>
          <w:iCs w:val="0"/>
          <w:caps w:val="0"/>
          <w:color w:val="333333"/>
          <w:spacing w:val="0"/>
          <w:sz w:val="27"/>
          <w:szCs w:val="27"/>
          <w:shd w:val="clear" w:fill="FFFFFF"/>
          <w:lang w:val="en-US" w:eastAsia="zh-CN"/>
        </w:rPr>
        <w:t>人员经费减少</w:t>
      </w:r>
      <w:r>
        <w:rPr>
          <w:rFonts w:hint="eastAsia" w:ascii="微软雅黑" w:hAnsi="微软雅黑" w:eastAsia="微软雅黑" w:cs="微软雅黑"/>
          <w:i w:val="0"/>
          <w:iCs w:val="0"/>
          <w:caps w:val="0"/>
          <w:color w:val="333333"/>
          <w:spacing w:val="0"/>
          <w:sz w:val="27"/>
          <w:szCs w:val="27"/>
          <w:shd w:val="clear" w:fill="FFFFFF"/>
        </w:rPr>
        <w:t>；</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公共安全</w:t>
      </w:r>
      <w:r>
        <w:rPr>
          <w:rFonts w:hint="eastAsia" w:ascii="微软雅黑" w:hAnsi="微软雅黑" w:eastAsia="微软雅黑" w:cs="微软雅黑"/>
          <w:i w:val="0"/>
          <w:iCs w:val="0"/>
          <w:caps w:val="0"/>
          <w:color w:val="333333"/>
          <w:spacing w:val="0"/>
          <w:sz w:val="27"/>
          <w:szCs w:val="27"/>
          <w:shd w:val="clear" w:fill="FFFFFF"/>
        </w:rPr>
        <w:t>支出</w:t>
      </w:r>
      <w:r>
        <w:rPr>
          <w:rFonts w:hint="eastAsia" w:ascii="微软雅黑" w:hAnsi="微软雅黑" w:eastAsia="微软雅黑" w:cs="微软雅黑"/>
          <w:i w:val="0"/>
          <w:iCs w:val="0"/>
          <w:caps w:val="0"/>
          <w:color w:val="333333"/>
          <w:spacing w:val="0"/>
          <w:sz w:val="27"/>
          <w:szCs w:val="27"/>
          <w:shd w:val="clear" w:fill="FFFFFF"/>
          <w:lang w:val="en-US" w:eastAsia="zh-CN"/>
        </w:rPr>
        <w:t>79.75</w:t>
      </w:r>
      <w:r>
        <w:rPr>
          <w:rFonts w:hint="eastAsia" w:ascii="微软雅黑" w:hAnsi="微软雅黑" w:eastAsia="微软雅黑" w:cs="微软雅黑"/>
          <w:i w:val="0"/>
          <w:iCs w:val="0"/>
          <w:caps w:val="0"/>
          <w:color w:val="333333"/>
          <w:spacing w:val="0"/>
          <w:sz w:val="27"/>
          <w:szCs w:val="27"/>
          <w:shd w:val="clear" w:fill="FFFFFF"/>
        </w:rPr>
        <w:t>万元，较上年减少</w:t>
      </w:r>
      <w:r>
        <w:rPr>
          <w:rFonts w:hint="eastAsia" w:ascii="微软雅黑" w:hAnsi="微软雅黑" w:eastAsia="微软雅黑" w:cs="微软雅黑"/>
          <w:i w:val="0"/>
          <w:iCs w:val="0"/>
          <w:caps w:val="0"/>
          <w:color w:val="333333"/>
          <w:spacing w:val="0"/>
          <w:sz w:val="27"/>
          <w:szCs w:val="27"/>
          <w:shd w:val="clear" w:fill="FFFFFF"/>
          <w:lang w:val="en-US" w:eastAsia="zh-CN"/>
        </w:rPr>
        <w:t>31.36</w:t>
      </w:r>
      <w:r>
        <w:rPr>
          <w:rFonts w:hint="eastAsia" w:ascii="微软雅黑" w:hAnsi="微软雅黑" w:eastAsia="微软雅黑" w:cs="微软雅黑"/>
          <w:i w:val="0"/>
          <w:iCs w:val="0"/>
          <w:caps w:val="0"/>
          <w:color w:val="333333"/>
          <w:spacing w:val="0"/>
          <w:sz w:val="27"/>
          <w:szCs w:val="27"/>
          <w:shd w:val="clear" w:fill="FFFFFF"/>
        </w:rPr>
        <w:t>万元，原因是</w:t>
      </w:r>
      <w:r>
        <w:rPr>
          <w:rFonts w:hint="eastAsia" w:ascii="微软雅黑" w:hAnsi="微软雅黑" w:eastAsia="微软雅黑" w:cs="微软雅黑"/>
          <w:i w:val="0"/>
          <w:iCs w:val="0"/>
          <w:caps w:val="0"/>
          <w:color w:val="333333"/>
          <w:spacing w:val="0"/>
          <w:sz w:val="27"/>
          <w:szCs w:val="27"/>
          <w:shd w:val="clear" w:fill="FFFFFF"/>
          <w:lang w:val="en-US" w:eastAsia="zh-CN"/>
        </w:rPr>
        <w:t>人员经费减少</w:t>
      </w:r>
      <w:r>
        <w:rPr>
          <w:rFonts w:hint="eastAsia" w:ascii="微软雅黑" w:hAnsi="微软雅黑" w:eastAsia="微软雅黑" w:cs="微软雅黑"/>
          <w:i w:val="0"/>
          <w:iCs w:val="0"/>
          <w:caps w:val="0"/>
          <w:color w:val="333333"/>
          <w:spacing w:val="0"/>
          <w:sz w:val="27"/>
          <w:szCs w:val="27"/>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right="0" w:firstLine="540" w:firstLineChars="20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w:t>
      </w:r>
      <w:r>
        <w:rPr>
          <w:rFonts w:hint="eastAsia" w:ascii="微软雅黑" w:hAnsi="微软雅黑" w:eastAsia="微软雅黑" w:cs="微软雅黑"/>
          <w:i w:val="0"/>
          <w:iCs w:val="0"/>
          <w:caps w:val="0"/>
          <w:color w:val="333333"/>
          <w:spacing w:val="0"/>
          <w:sz w:val="27"/>
          <w:szCs w:val="27"/>
          <w:shd w:val="clear" w:fill="FFFFFF"/>
          <w:lang w:val="en-US" w:eastAsia="zh-CN"/>
        </w:rPr>
        <w:t>3</w:t>
      </w:r>
      <w:r>
        <w:rPr>
          <w:rFonts w:hint="eastAsia" w:ascii="微软雅黑" w:hAnsi="微软雅黑" w:eastAsia="微软雅黑" w:cs="微软雅黑"/>
          <w:i w:val="0"/>
          <w:iCs w:val="0"/>
          <w:caps w:val="0"/>
          <w:color w:val="333333"/>
          <w:spacing w:val="0"/>
          <w:sz w:val="27"/>
          <w:szCs w:val="27"/>
          <w:shd w:val="clear" w:fill="FFFFFF"/>
        </w:rPr>
        <w:t>）社会保障和就业支出</w:t>
      </w:r>
      <w:r>
        <w:rPr>
          <w:rFonts w:hint="eastAsia" w:ascii="微软雅黑" w:hAnsi="微软雅黑" w:eastAsia="微软雅黑" w:cs="微软雅黑"/>
          <w:i w:val="0"/>
          <w:iCs w:val="0"/>
          <w:caps w:val="0"/>
          <w:color w:val="333333"/>
          <w:spacing w:val="0"/>
          <w:sz w:val="27"/>
          <w:szCs w:val="27"/>
          <w:shd w:val="clear" w:fill="FFFFFF"/>
          <w:lang w:val="en-US" w:eastAsia="zh-CN"/>
        </w:rPr>
        <w:t>392.02</w:t>
      </w:r>
      <w:r>
        <w:rPr>
          <w:rFonts w:hint="eastAsia" w:ascii="微软雅黑" w:hAnsi="微软雅黑" w:eastAsia="微软雅黑" w:cs="微软雅黑"/>
          <w:i w:val="0"/>
          <w:iCs w:val="0"/>
          <w:caps w:val="0"/>
          <w:color w:val="333333"/>
          <w:spacing w:val="0"/>
          <w:sz w:val="27"/>
          <w:szCs w:val="27"/>
          <w:shd w:val="clear" w:fill="FFFFFF"/>
        </w:rPr>
        <w:t>万元，较上年减少</w:t>
      </w:r>
      <w:r>
        <w:rPr>
          <w:rFonts w:hint="eastAsia" w:ascii="微软雅黑" w:hAnsi="微软雅黑" w:eastAsia="微软雅黑" w:cs="微软雅黑"/>
          <w:i w:val="0"/>
          <w:iCs w:val="0"/>
          <w:caps w:val="0"/>
          <w:color w:val="333333"/>
          <w:spacing w:val="0"/>
          <w:sz w:val="27"/>
          <w:szCs w:val="27"/>
          <w:shd w:val="clear" w:fill="FFFFFF"/>
          <w:lang w:val="en-US" w:eastAsia="zh-CN"/>
        </w:rPr>
        <w:t>388.91</w:t>
      </w:r>
      <w:r>
        <w:rPr>
          <w:rFonts w:hint="eastAsia" w:ascii="微软雅黑" w:hAnsi="微软雅黑" w:eastAsia="微软雅黑" w:cs="微软雅黑"/>
          <w:i w:val="0"/>
          <w:iCs w:val="0"/>
          <w:caps w:val="0"/>
          <w:color w:val="333333"/>
          <w:spacing w:val="0"/>
          <w:sz w:val="27"/>
          <w:szCs w:val="27"/>
          <w:shd w:val="clear" w:fill="FFFFFF"/>
        </w:rPr>
        <w:t>万元，原因是社区基层社会事务减少；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w:t>
      </w:r>
      <w:r>
        <w:rPr>
          <w:rFonts w:hint="eastAsia" w:ascii="微软雅黑" w:hAnsi="微软雅黑" w:eastAsia="微软雅黑" w:cs="微软雅黑"/>
          <w:i w:val="0"/>
          <w:iCs w:val="0"/>
          <w:caps w:val="0"/>
          <w:color w:val="333333"/>
          <w:spacing w:val="0"/>
          <w:sz w:val="27"/>
          <w:szCs w:val="27"/>
          <w:shd w:val="clear" w:fill="FFFFFF"/>
          <w:lang w:val="en-US" w:eastAsia="zh-CN"/>
        </w:rPr>
        <w:t>4</w:t>
      </w:r>
      <w:r>
        <w:rPr>
          <w:rFonts w:hint="eastAsia" w:ascii="微软雅黑" w:hAnsi="微软雅黑" w:eastAsia="微软雅黑" w:cs="微软雅黑"/>
          <w:i w:val="0"/>
          <w:iCs w:val="0"/>
          <w:caps w:val="0"/>
          <w:color w:val="333333"/>
          <w:spacing w:val="0"/>
          <w:sz w:val="27"/>
          <w:szCs w:val="27"/>
          <w:shd w:val="clear" w:fill="FFFFFF"/>
        </w:rPr>
        <w:t>）</w:t>
      </w:r>
      <w:r>
        <w:rPr>
          <w:rFonts w:hint="eastAsia" w:ascii="微软雅黑" w:hAnsi="微软雅黑" w:eastAsia="微软雅黑" w:cs="微软雅黑"/>
          <w:i w:val="0"/>
          <w:iCs w:val="0"/>
          <w:caps w:val="0"/>
          <w:color w:val="333333"/>
          <w:spacing w:val="0"/>
          <w:sz w:val="27"/>
          <w:szCs w:val="27"/>
          <w:shd w:val="clear" w:fill="FFFFFF"/>
          <w:lang w:val="en-US" w:eastAsia="zh-CN"/>
        </w:rPr>
        <w:t>卫生健康</w:t>
      </w:r>
      <w:r>
        <w:rPr>
          <w:rFonts w:hint="eastAsia" w:ascii="微软雅黑" w:hAnsi="微软雅黑" w:eastAsia="微软雅黑" w:cs="微软雅黑"/>
          <w:i w:val="0"/>
          <w:iCs w:val="0"/>
          <w:caps w:val="0"/>
          <w:color w:val="333333"/>
          <w:spacing w:val="0"/>
          <w:sz w:val="27"/>
          <w:szCs w:val="27"/>
          <w:shd w:val="clear" w:fill="FFFFFF"/>
        </w:rPr>
        <w:t>支出</w:t>
      </w:r>
      <w:r>
        <w:rPr>
          <w:rFonts w:hint="eastAsia" w:ascii="微软雅黑" w:hAnsi="微软雅黑" w:eastAsia="微软雅黑" w:cs="微软雅黑"/>
          <w:i w:val="0"/>
          <w:iCs w:val="0"/>
          <w:caps w:val="0"/>
          <w:color w:val="333333"/>
          <w:spacing w:val="0"/>
          <w:sz w:val="27"/>
          <w:szCs w:val="27"/>
          <w:shd w:val="clear" w:fill="FFFFFF"/>
          <w:lang w:val="en-US" w:eastAsia="zh-CN"/>
        </w:rPr>
        <w:t>165.59</w:t>
      </w:r>
      <w:r>
        <w:rPr>
          <w:rFonts w:hint="eastAsia" w:ascii="微软雅黑" w:hAnsi="微软雅黑" w:eastAsia="微软雅黑" w:cs="微软雅黑"/>
          <w:i w:val="0"/>
          <w:iCs w:val="0"/>
          <w:caps w:val="0"/>
          <w:color w:val="333333"/>
          <w:spacing w:val="0"/>
          <w:sz w:val="27"/>
          <w:szCs w:val="27"/>
          <w:shd w:val="clear" w:fill="FFFFFF"/>
        </w:rPr>
        <w:t>万元，较上年</w:t>
      </w:r>
      <w:r>
        <w:rPr>
          <w:rFonts w:hint="eastAsia" w:ascii="微软雅黑" w:hAnsi="微软雅黑" w:eastAsia="微软雅黑" w:cs="微软雅黑"/>
          <w:i w:val="0"/>
          <w:iCs w:val="0"/>
          <w:caps w:val="0"/>
          <w:color w:val="333333"/>
          <w:spacing w:val="0"/>
          <w:sz w:val="27"/>
          <w:szCs w:val="27"/>
          <w:shd w:val="clear" w:fill="FFFFFF"/>
          <w:lang w:val="en-US" w:eastAsia="zh-CN"/>
        </w:rPr>
        <w:t>减少27.17万元，原因是</w:t>
      </w:r>
      <w:r>
        <w:rPr>
          <w:rFonts w:hint="eastAsia" w:ascii="微软雅黑" w:hAnsi="微软雅黑" w:eastAsia="微软雅黑" w:cs="微软雅黑"/>
          <w:i w:val="0"/>
          <w:iCs w:val="0"/>
          <w:caps w:val="0"/>
          <w:color w:val="333333"/>
          <w:spacing w:val="0"/>
          <w:sz w:val="27"/>
          <w:szCs w:val="27"/>
        </w:rPr>
        <w:t>独生子女保健费减少；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（4）节能环保</w:t>
      </w:r>
      <w:r>
        <w:rPr>
          <w:rFonts w:hint="eastAsia" w:ascii="微软雅黑" w:hAnsi="微软雅黑" w:eastAsia="微软雅黑" w:cs="微软雅黑"/>
          <w:i w:val="0"/>
          <w:iCs w:val="0"/>
          <w:caps w:val="0"/>
          <w:color w:val="333333"/>
          <w:spacing w:val="0"/>
          <w:sz w:val="27"/>
          <w:szCs w:val="27"/>
          <w:shd w:val="clear" w:fill="FFFFFF"/>
          <w:lang w:val="en-US" w:eastAsia="zh-CN"/>
        </w:rPr>
        <w:t>100</w:t>
      </w:r>
      <w:r>
        <w:rPr>
          <w:rFonts w:hint="eastAsia" w:ascii="微软雅黑" w:hAnsi="微软雅黑" w:eastAsia="微软雅黑" w:cs="微软雅黑"/>
          <w:i w:val="0"/>
          <w:iCs w:val="0"/>
          <w:caps w:val="0"/>
          <w:color w:val="333333"/>
          <w:spacing w:val="0"/>
          <w:sz w:val="27"/>
          <w:szCs w:val="27"/>
          <w:shd w:val="clear" w:fill="FFFFFF"/>
        </w:rPr>
        <w:t>万元，较上年减少</w:t>
      </w:r>
      <w:r>
        <w:rPr>
          <w:rFonts w:hint="eastAsia" w:ascii="微软雅黑" w:hAnsi="微软雅黑" w:eastAsia="微软雅黑" w:cs="微软雅黑"/>
          <w:i w:val="0"/>
          <w:iCs w:val="0"/>
          <w:caps w:val="0"/>
          <w:color w:val="333333"/>
          <w:spacing w:val="0"/>
          <w:sz w:val="27"/>
          <w:szCs w:val="27"/>
          <w:shd w:val="clear" w:fill="FFFFFF"/>
          <w:lang w:val="en-US" w:eastAsia="zh-CN"/>
        </w:rPr>
        <w:t>360.45</w:t>
      </w:r>
      <w:r>
        <w:rPr>
          <w:rFonts w:hint="eastAsia" w:ascii="微软雅黑" w:hAnsi="微软雅黑" w:eastAsia="微软雅黑" w:cs="微软雅黑"/>
          <w:i w:val="0"/>
          <w:iCs w:val="0"/>
          <w:caps w:val="0"/>
          <w:color w:val="333333"/>
          <w:spacing w:val="0"/>
          <w:sz w:val="27"/>
          <w:szCs w:val="27"/>
          <w:shd w:val="clear" w:fill="FFFFFF"/>
        </w:rPr>
        <w:t>万元，原因是环境已有所改善</w:t>
      </w:r>
      <w:r>
        <w:rPr>
          <w:rFonts w:hint="eastAsia" w:ascii="微软雅黑" w:hAnsi="微软雅黑" w:eastAsia="微软雅黑" w:cs="微软雅黑"/>
          <w:i w:val="0"/>
          <w:iCs w:val="0"/>
          <w:caps w:val="0"/>
          <w:color w:val="333333"/>
          <w:spacing w:val="0"/>
          <w:sz w:val="27"/>
          <w:szCs w:val="27"/>
          <w:shd w:val="clear" w:fill="FFFFFF"/>
          <w:lang w:eastAsia="zh-CN"/>
        </w:rPr>
        <w:t>，</w:t>
      </w:r>
      <w:r>
        <w:rPr>
          <w:rFonts w:hint="eastAsia" w:ascii="微软雅黑" w:hAnsi="微软雅黑" w:eastAsia="微软雅黑" w:cs="微软雅黑"/>
          <w:i w:val="0"/>
          <w:iCs w:val="0"/>
          <w:caps w:val="0"/>
          <w:color w:val="333333"/>
          <w:spacing w:val="0"/>
          <w:sz w:val="27"/>
          <w:szCs w:val="27"/>
          <w:shd w:val="clear" w:fill="FFFFFF"/>
        </w:rPr>
        <w:t>规范了支出范围，压缩了一般开支；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（5）城乡社区支出</w:t>
      </w:r>
      <w:r>
        <w:rPr>
          <w:rFonts w:hint="eastAsia" w:ascii="微软雅黑" w:hAnsi="微软雅黑" w:eastAsia="微软雅黑" w:cs="微软雅黑"/>
          <w:i w:val="0"/>
          <w:iCs w:val="0"/>
          <w:caps w:val="0"/>
          <w:color w:val="333333"/>
          <w:spacing w:val="0"/>
          <w:sz w:val="27"/>
          <w:szCs w:val="27"/>
          <w:shd w:val="clear" w:fill="FFFFFF"/>
          <w:lang w:val="en-US" w:eastAsia="zh-CN"/>
        </w:rPr>
        <w:t>4696.28</w:t>
      </w:r>
      <w:r>
        <w:rPr>
          <w:rFonts w:hint="eastAsia" w:ascii="微软雅黑" w:hAnsi="微软雅黑" w:eastAsia="微软雅黑" w:cs="微软雅黑"/>
          <w:i w:val="0"/>
          <w:iCs w:val="0"/>
          <w:caps w:val="0"/>
          <w:color w:val="333333"/>
          <w:spacing w:val="0"/>
          <w:sz w:val="27"/>
          <w:szCs w:val="27"/>
          <w:shd w:val="clear" w:fill="FFFFFF"/>
        </w:rPr>
        <w:t>万元，较上年增加</w:t>
      </w:r>
      <w:r>
        <w:rPr>
          <w:rFonts w:hint="eastAsia" w:ascii="微软雅黑" w:hAnsi="微软雅黑" w:eastAsia="微软雅黑" w:cs="微软雅黑"/>
          <w:i w:val="0"/>
          <w:iCs w:val="0"/>
          <w:caps w:val="0"/>
          <w:color w:val="333333"/>
          <w:spacing w:val="0"/>
          <w:sz w:val="27"/>
          <w:szCs w:val="27"/>
          <w:shd w:val="clear" w:fill="FFFFFF"/>
          <w:lang w:val="en-US" w:eastAsia="zh-CN"/>
        </w:rPr>
        <w:t>647.47</w:t>
      </w:r>
      <w:r>
        <w:rPr>
          <w:rFonts w:hint="eastAsia" w:ascii="微软雅黑" w:hAnsi="微软雅黑" w:eastAsia="微软雅黑" w:cs="微软雅黑"/>
          <w:i w:val="0"/>
          <w:iCs w:val="0"/>
          <w:caps w:val="0"/>
          <w:color w:val="333333"/>
          <w:spacing w:val="0"/>
          <w:sz w:val="27"/>
          <w:szCs w:val="27"/>
          <w:shd w:val="clear" w:fill="FFFFFF"/>
        </w:rPr>
        <w:t>万元，</w:t>
      </w:r>
      <w:r>
        <w:rPr>
          <w:rFonts w:hint="eastAsia" w:ascii="微软雅黑" w:hAnsi="微软雅黑" w:eastAsia="微软雅黑" w:cs="微软雅黑"/>
          <w:i w:val="0"/>
          <w:iCs w:val="0"/>
          <w:caps w:val="0"/>
          <w:color w:val="333333"/>
          <w:spacing w:val="0"/>
          <w:sz w:val="27"/>
          <w:szCs w:val="27"/>
          <w:shd w:val="clear" w:fill="FFFFFF"/>
          <w:lang w:val="en-US" w:eastAsia="zh-CN"/>
        </w:rPr>
        <w:t>原因增加了城管执法工作、农村产改工作的经费投入以及村民补偿款的投入；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（6）农林水支出</w:t>
      </w:r>
      <w:r>
        <w:rPr>
          <w:rFonts w:hint="eastAsia" w:ascii="微软雅黑" w:hAnsi="微软雅黑" w:eastAsia="微软雅黑" w:cs="微软雅黑"/>
          <w:i w:val="0"/>
          <w:iCs w:val="0"/>
          <w:caps w:val="0"/>
          <w:color w:val="333333"/>
          <w:spacing w:val="0"/>
          <w:sz w:val="27"/>
          <w:szCs w:val="27"/>
          <w:shd w:val="clear" w:fill="FFFFFF"/>
          <w:lang w:val="en-US" w:eastAsia="zh-CN"/>
        </w:rPr>
        <w:t>627.98</w:t>
      </w:r>
      <w:r>
        <w:rPr>
          <w:rFonts w:hint="eastAsia" w:ascii="微软雅黑" w:hAnsi="微软雅黑" w:eastAsia="微软雅黑" w:cs="微软雅黑"/>
          <w:i w:val="0"/>
          <w:iCs w:val="0"/>
          <w:caps w:val="0"/>
          <w:color w:val="333333"/>
          <w:spacing w:val="0"/>
          <w:sz w:val="27"/>
          <w:szCs w:val="27"/>
          <w:shd w:val="clear" w:fill="FFFFFF"/>
        </w:rPr>
        <w:t>万元，较上年</w:t>
      </w:r>
      <w:r>
        <w:rPr>
          <w:rFonts w:hint="eastAsia" w:ascii="微软雅黑" w:hAnsi="微软雅黑" w:eastAsia="微软雅黑" w:cs="微软雅黑"/>
          <w:i w:val="0"/>
          <w:iCs w:val="0"/>
          <w:caps w:val="0"/>
          <w:color w:val="333333"/>
          <w:spacing w:val="0"/>
          <w:sz w:val="27"/>
          <w:szCs w:val="27"/>
          <w:shd w:val="clear" w:fill="FFFFFF"/>
          <w:lang w:val="en-US" w:eastAsia="zh-CN"/>
        </w:rPr>
        <w:t>减少158.36</w:t>
      </w:r>
      <w:r>
        <w:rPr>
          <w:rFonts w:hint="eastAsia" w:ascii="微软雅黑" w:hAnsi="微软雅黑" w:eastAsia="微软雅黑" w:cs="微软雅黑"/>
          <w:i w:val="0"/>
          <w:iCs w:val="0"/>
          <w:caps w:val="0"/>
          <w:color w:val="333333"/>
          <w:spacing w:val="0"/>
          <w:sz w:val="27"/>
          <w:szCs w:val="27"/>
          <w:shd w:val="clear" w:fill="FFFFFF"/>
        </w:rPr>
        <w:t>万元，原因是压缩了水利设施经费的投入；</w:t>
      </w:r>
    </w:p>
    <w:tbl>
      <w:tblPr>
        <w:tblStyle w:val="3"/>
        <w:tblpPr w:leftFromText="180" w:rightFromText="180" w:vertAnchor="text" w:horzAnchor="page" w:tblpX="1799" w:tblpY="813"/>
        <w:tblOverlap w:val="never"/>
        <w:tblW w:w="9126" w:type="dxa"/>
        <w:tblInd w:w="0" w:type="dxa"/>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326"/>
        <w:gridCol w:w="1170"/>
        <w:gridCol w:w="975"/>
        <w:gridCol w:w="1170"/>
        <w:gridCol w:w="1048"/>
        <w:gridCol w:w="1442"/>
        <w:gridCol w:w="1995"/>
      </w:tblGrid>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26" w:type="dxa"/>
            <w:vMerge w:val="restart"/>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科目名称</w:t>
            </w:r>
          </w:p>
        </w:tc>
        <w:tc>
          <w:tcPr>
            <w:tcW w:w="2145" w:type="dxa"/>
            <w:gridSpan w:val="2"/>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2020年</w:t>
            </w:r>
          </w:p>
        </w:tc>
        <w:tc>
          <w:tcPr>
            <w:tcW w:w="2218" w:type="dxa"/>
            <w:gridSpan w:val="2"/>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2019年</w:t>
            </w:r>
          </w:p>
        </w:tc>
        <w:tc>
          <w:tcPr>
            <w:tcW w:w="1442" w:type="dxa"/>
            <w:vMerge w:val="restart"/>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增长%</w:t>
            </w:r>
          </w:p>
        </w:tc>
        <w:tc>
          <w:tcPr>
            <w:tcW w:w="1995" w:type="dxa"/>
            <w:vMerge w:val="restart"/>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增长减少原因</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rPr>
          <w:trHeight w:val="888" w:hRule="atLeast"/>
        </w:trPr>
        <w:tc>
          <w:tcPr>
            <w:tcW w:w="1326" w:type="dxa"/>
            <w:vMerge w:val="continue"/>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rPr>
                <w:rFonts w:hint="eastAsia" w:ascii="微软雅黑" w:hAnsi="微软雅黑" w:eastAsia="微软雅黑" w:cs="微软雅黑"/>
                <w:i w:val="0"/>
                <w:iCs w:val="0"/>
                <w:caps w:val="0"/>
                <w:color w:val="333333"/>
                <w:spacing w:val="0"/>
                <w:sz w:val="15"/>
                <w:szCs w:val="15"/>
              </w:rPr>
            </w:pP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基本</w:t>
            </w:r>
          </w:p>
        </w:tc>
        <w:tc>
          <w:tcPr>
            <w:tcW w:w="97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项目</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基本</w:t>
            </w:r>
          </w:p>
        </w:tc>
        <w:tc>
          <w:tcPr>
            <w:tcW w:w="1048"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项目</w:t>
            </w:r>
          </w:p>
        </w:tc>
        <w:tc>
          <w:tcPr>
            <w:tcW w:w="1442" w:type="dxa"/>
            <w:vMerge w:val="continue"/>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rPr>
                <w:rFonts w:hint="eastAsia" w:ascii="微软雅黑" w:hAnsi="微软雅黑" w:eastAsia="微软雅黑" w:cs="微软雅黑"/>
                <w:i w:val="0"/>
                <w:iCs w:val="0"/>
                <w:caps w:val="0"/>
                <w:color w:val="333333"/>
                <w:spacing w:val="0"/>
                <w:sz w:val="15"/>
                <w:szCs w:val="15"/>
              </w:rPr>
            </w:pPr>
          </w:p>
        </w:tc>
        <w:tc>
          <w:tcPr>
            <w:tcW w:w="1995" w:type="dxa"/>
            <w:vMerge w:val="continue"/>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rPr>
                <w:rFonts w:hint="eastAsia" w:ascii="微软雅黑" w:hAnsi="微软雅黑" w:eastAsia="微软雅黑" w:cs="微软雅黑"/>
                <w:i w:val="0"/>
                <w:iCs w:val="0"/>
                <w:caps w:val="0"/>
                <w:color w:val="333333"/>
                <w:spacing w:val="0"/>
                <w:sz w:val="15"/>
                <w:szCs w:val="15"/>
              </w:rPr>
            </w:pP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97" w:hRule="atLeast"/>
        </w:trPr>
        <w:tc>
          <w:tcPr>
            <w:tcW w:w="1326"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一般公共服务支出</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406.24</w:t>
            </w:r>
          </w:p>
        </w:tc>
        <w:tc>
          <w:tcPr>
            <w:tcW w:w="97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441.94</w:t>
            </w:r>
          </w:p>
        </w:tc>
        <w:tc>
          <w:tcPr>
            <w:tcW w:w="1048"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442"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-8.07%</w:t>
            </w:r>
          </w:p>
        </w:tc>
        <w:tc>
          <w:tcPr>
            <w:tcW w:w="199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人员经费减少</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326"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国防支出</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97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048"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442"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w:t>
            </w:r>
          </w:p>
        </w:tc>
        <w:tc>
          <w:tcPr>
            <w:tcW w:w="199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26"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公共安全支出</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79.75</w:t>
            </w:r>
          </w:p>
        </w:tc>
        <w:tc>
          <w:tcPr>
            <w:tcW w:w="97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110.91</w:t>
            </w:r>
          </w:p>
        </w:tc>
        <w:tc>
          <w:tcPr>
            <w:tcW w:w="1048"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442"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-28.09%</w:t>
            </w:r>
          </w:p>
        </w:tc>
        <w:tc>
          <w:tcPr>
            <w:tcW w:w="199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人员经费减少</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26"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文化旅游体育与传媒支出</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97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048"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49.17</w:t>
            </w:r>
          </w:p>
        </w:tc>
        <w:tc>
          <w:tcPr>
            <w:tcW w:w="1442"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0%</w:t>
            </w:r>
          </w:p>
        </w:tc>
        <w:tc>
          <w:tcPr>
            <w:tcW w:w="199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未安排文化旅游支出</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26"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社会保障和就业支出</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96.53</w:t>
            </w:r>
          </w:p>
        </w:tc>
        <w:tc>
          <w:tcPr>
            <w:tcW w:w="97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295.49</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150.97</w:t>
            </w:r>
          </w:p>
        </w:tc>
        <w:tc>
          <w:tcPr>
            <w:tcW w:w="1048"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629.96</w:t>
            </w:r>
          </w:p>
        </w:tc>
        <w:tc>
          <w:tcPr>
            <w:tcW w:w="1442"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-49.80%</w:t>
            </w:r>
          </w:p>
        </w:tc>
        <w:tc>
          <w:tcPr>
            <w:tcW w:w="199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rFonts w:hint="default" w:eastAsiaTheme="minorEastAsia"/>
                <w:sz w:val="15"/>
                <w:szCs w:val="15"/>
                <w:lang w:val="en-US" w:eastAsia="zh-CN"/>
              </w:rPr>
            </w:pPr>
            <w:r>
              <w:rPr>
                <w:rFonts w:hint="eastAsia"/>
                <w:sz w:val="15"/>
                <w:szCs w:val="15"/>
                <w:lang w:val="en-US" w:eastAsia="zh-CN"/>
              </w:rPr>
              <w:t>社会事务减少</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326"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卫生健康支出</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85.59</w:t>
            </w:r>
          </w:p>
        </w:tc>
        <w:tc>
          <w:tcPr>
            <w:tcW w:w="97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80</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116.76</w:t>
            </w:r>
          </w:p>
        </w:tc>
        <w:tc>
          <w:tcPr>
            <w:tcW w:w="1048"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76.00</w:t>
            </w:r>
          </w:p>
        </w:tc>
        <w:tc>
          <w:tcPr>
            <w:tcW w:w="1442"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-14.09%</w:t>
            </w:r>
          </w:p>
        </w:tc>
        <w:tc>
          <w:tcPr>
            <w:tcW w:w="199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独生子女保健费减少，正常发放。</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26"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节能环保支出</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97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100</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048"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460.45</w:t>
            </w:r>
          </w:p>
        </w:tc>
        <w:tc>
          <w:tcPr>
            <w:tcW w:w="1442"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-78.28%</w:t>
            </w:r>
          </w:p>
        </w:tc>
        <w:tc>
          <w:tcPr>
            <w:tcW w:w="199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规范了支出范围，压缩了一般开支</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26"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城乡社区支出</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97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4696.28</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1048"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4,048.81</w:t>
            </w:r>
          </w:p>
        </w:tc>
        <w:tc>
          <w:tcPr>
            <w:tcW w:w="1442"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15.99%</w:t>
            </w:r>
          </w:p>
        </w:tc>
        <w:tc>
          <w:tcPr>
            <w:tcW w:w="199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增加了城管执法工作、农村产改工作的经费投入以及村民补偿款的投入</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26"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农林水支出</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139.2</w:t>
            </w:r>
          </w:p>
        </w:tc>
        <w:tc>
          <w:tcPr>
            <w:tcW w:w="97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488.78</w:t>
            </w:r>
          </w:p>
        </w:tc>
        <w:tc>
          <w:tcPr>
            <w:tcW w:w="1170"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189.01</w:t>
            </w:r>
          </w:p>
        </w:tc>
        <w:tc>
          <w:tcPr>
            <w:tcW w:w="1048"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597.33</w:t>
            </w:r>
          </w:p>
        </w:tc>
        <w:tc>
          <w:tcPr>
            <w:tcW w:w="1442"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-20.13%</w:t>
            </w:r>
          </w:p>
        </w:tc>
        <w:tc>
          <w:tcPr>
            <w:tcW w:w="199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压缩了水利设施经费的投入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15"/>
          <w:szCs w:val="15"/>
        </w:rPr>
      </w:pPr>
      <w:r>
        <w:rPr>
          <w:rFonts w:hint="eastAsia" w:ascii="微软雅黑" w:hAnsi="微软雅黑" w:eastAsia="微软雅黑" w:cs="微软雅黑"/>
          <w:i w:val="0"/>
          <w:iCs w:val="0"/>
          <w:caps w:val="0"/>
          <w:color w:val="333333"/>
          <w:spacing w:val="0"/>
          <w:sz w:val="27"/>
          <w:szCs w:val="27"/>
          <w:shd w:val="clear" w:fill="FFFFFF"/>
        </w:rPr>
        <w:t>本部门2020年一般公共预算支出6467.86万元，其中：</w:t>
      </w:r>
    </w:p>
    <w:tbl>
      <w:tblPr>
        <w:tblStyle w:val="3"/>
        <w:tblW w:w="9051" w:type="dxa"/>
        <w:tblInd w:w="0" w:type="dxa"/>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330"/>
        <w:gridCol w:w="982"/>
        <w:gridCol w:w="1098"/>
        <w:gridCol w:w="982"/>
        <w:gridCol w:w="1145"/>
        <w:gridCol w:w="1128"/>
        <w:gridCol w:w="1386"/>
      </w:tblGrid>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restart"/>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科目名称</w:t>
            </w:r>
          </w:p>
        </w:tc>
        <w:tc>
          <w:tcPr>
            <w:tcW w:w="0" w:type="auto"/>
            <w:gridSpan w:val="2"/>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2020年</w:t>
            </w:r>
          </w:p>
        </w:tc>
        <w:tc>
          <w:tcPr>
            <w:tcW w:w="0" w:type="auto"/>
            <w:gridSpan w:val="2"/>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2019年</w:t>
            </w:r>
          </w:p>
        </w:tc>
        <w:tc>
          <w:tcPr>
            <w:tcW w:w="0" w:type="auto"/>
            <w:vMerge w:val="restart"/>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增长率</w:t>
            </w:r>
          </w:p>
        </w:tc>
        <w:tc>
          <w:tcPr>
            <w:tcW w:w="1385" w:type="dxa"/>
            <w:vMerge w:val="restart"/>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增长减少原因</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vMerge w:val="continue"/>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rPr>
                <w:rFonts w:hint="eastAsia" w:ascii="微软雅黑" w:hAnsi="微软雅黑" w:eastAsia="微软雅黑" w:cs="微软雅黑"/>
                <w:i w:val="0"/>
                <w:iCs w:val="0"/>
                <w:caps w:val="0"/>
                <w:color w:val="333333"/>
                <w:spacing w:val="0"/>
                <w:sz w:val="15"/>
                <w:szCs w:val="15"/>
              </w:rPr>
            </w:pP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基本</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项目</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基本</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项目</w:t>
            </w:r>
          </w:p>
        </w:tc>
        <w:tc>
          <w:tcPr>
            <w:tcW w:w="0" w:type="auto"/>
            <w:vMerge w:val="continue"/>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rPr>
                <w:rFonts w:hint="eastAsia" w:ascii="微软雅黑" w:hAnsi="微软雅黑" w:eastAsia="微软雅黑" w:cs="微软雅黑"/>
                <w:i w:val="0"/>
                <w:iCs w:val="0"/>
                <w:caps w:val="0"/>
                <w:color w:val="333333"/>
                <w:spacing w:val="0"/>
                <w:sz w:val="15"/>
                <w:szCs w:val="15"/>
              </w:rPr>
            </w:pPr>
          </w:p>
        </w:tc>
        <w:tc>
          <w:tcPr>
            <w:tcW w:w="1385" w:type="dxa"/>
            <w:vMerge w:val="continue"/>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rPr>
                <w:rFonts w:hint="eastAsia" w:ascii="微软雅黑" w:hAnsi="微软雅黑" w:eastAsia="微软雅黑" w:cs="微软雅黑"/>
                <w:i w:val="0"/>
                <w:iCs w:val="0"/>
                <w:caps w:val="0"/>
                <w:color w:val="333333"/>
                <w:spacing w:val="0"/>
                <w:sz w:val="15"/>
                <w:szCs w:val="15"/>
              </w:rPr>
            </w:pP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机关工资福利支出</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721.21</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916.26</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-21.28%</w:t>
            </w:r>
          </w:p>
        </w:tc>
        <w:tc>
          <w:tcPr>
            <w:tcW w:w="138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人员经费减少</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75" w:hRule="atLeast"/>
        </w:trPr>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机关商品和服务支出</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72.79</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5130.66</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80.21</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4,284.42</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19.21%</w:t>
            </w:r>
          </w:p>
        </w:tc>
        <w:tc>
          <w:tcPr>
            <w:tcW w:w="138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专项业务增加</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对个人和家庭的补助</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13.31</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529.89</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13.12</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840.90</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-36.39%</w:t>
            </w:r>
          </w:p>
        </w:tc>
        <w:tc>
          <w:tcPr>
            <w:tcW w:w="138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规范了补助项目</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其他资本性支出（一）</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604.60</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0%</w:t>
            </w:r>
          </w:p>
        </w:tc>
        <w:tc>
          <w:tcPr>
            <w:tcW w:w="138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暂无投入</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其他支出</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131.80</w:t>
            </w:r>
          </w:p>
        </w:tc>
        <w:tc>
          <w:tcPr>
            <w:tcW w:w="0" w:type="auto"/>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0%　</w:t>
            </w:r>
          </w:p>
        </w:tc>
        <w:tc>
          <w:tcPr>
            <w:tcW w:w="1385"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5"/>
                <w:szCs w:val="15"/>
              </w:rPr>
            </w:pPr>
            <w:r>
              <w:rPr>
                <w:rFonts w:hint="eastAsia" w:ascii="微软雅黑" w:hAnsi="微软雅黑" w:eastAsia="微软雅黑" w:cs="微软雅黑"/>
                <w:i w:val="0"/>
                <w:iCs w:val="0"/>
                <w:caps w:val="0"/>
                <w:color w:val="333333"/>
                <w:spacing w:val="0"/>
                <w:sz w:val="15"/>
                <w:szCs w:val="15"/>
              </w:rPr>
              <w:t>暂无投入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3、支出按部门预算支出经济科目分类的明细情况。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2020年支出按部门预算支出经济科目分类一般公共预算支出6467.86万元，其中：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（1）基本指出807.31万元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机关工资福利支出721.21万元，较上年减少195.05万元，原因是人员经费减少；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机关商品和服务支出72.79万元，较上年减少7.42万元，原因是专项业务经费增加；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对个人和家庭的补助支出13.31万元，较上年增加0.19万元，原因是人员变动；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（2）专项业务支出5660.55万元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机关商品和服务支出5130.66万元，较上年增加846.24万元，原因是专项业务费增多；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对个人和家庭的补助529.89万元，较上年减少311.01万元，原因是规范了补助项目；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4、 按政府预算支出经济分类： 单位：万元</w:t>
      </w:r>
    </w:p>
    <w:tbl>
      <w:tblPr>
        <w:tblStyle w:val="3"/>
        <w:tblW w:w="0" w:type="auto"/>
        <w:tblInd w:w="-84" w:type="dxa"/>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754"/>
        <w:gridCol w:w="1173"/>
        <w:gridCol w:w="1173"/>
        <w:gridCol w:w="1209"/>
        <w:gridCol w:w="2331"/>
      </w:tblGrid>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2754"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科目名称</w:t>
            </w: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2020年</w:t>
            </w: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2019年</w:t>
            </w:r>
          </w:p>
        </w:tc>
        <w:tc>
          <w:tcPr>
            <w:tcW w:w="1209"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增减率</w:t>
            </w:r>
          </w:p>
        </w:tc>
        <w:tc>
          <w:tcPr>
            <w:tcW w:w="2331"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增减原因</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754"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机关工资福利支出</w:t>
            </w: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721.21</w:t>
            </w: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916.26</w:t>
            </w:r>
          </w:p>
        </w:tc>
        <w:tc>
          <w:tcPr>
            <w:tcW w:w="1209"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-21.28%</w:t>
            </w:r>
          </w:p>
        </w:tc>
        <w:tc>
          <w:tcPr>
            <w:tcW w:w="2331"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人员经费减少</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754"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机关商品和福利支出</w:t>
            </w: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5203.45</w:t>
            </w: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4364.63</w:t>
            </w:r>
          </w:p>
        </w:tc>
        <w:tc>
          <w:tcPr>
            <w:tcW w:w="1209"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19.21%</w:t>
            </w:r>
          </w:p>
        </w:tc>
        <w:tc>
          <w:tcPr>
            <w:tcW w:w="2331"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专项业务项目增加</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754"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对个人和家庭补助</w:t>
            </w: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543.20</w:t>
            </w: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854.02</w:t>
            </w:r>
          </w:p>
        </w:tc>
        <w:tc>
          <w:tcPr>
            <w:tcW w:w="1209"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-36.39%</w:t>
            </w:r>
          </w:p>
        </w:tc>
        <w:tc>
          <w:tcPr>
            <w:tcW w:w="2331"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规范了补助项目</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754"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其他资本性支出（一）</w:t>
            </w: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604.60</w:t>
            </w:r>
          </w:p>
        </w:tc>
        <w:tc>
          <w:tcPr>
            <w:tcW w:w="1209"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0%</w:t>
            </w:r>
          </w:p>
        </w:tc>
        <w:tc>
          <w:tcPr>
            <w:tcW w:w="2331"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暂无投入</w:t>
            </w:r>
          </w:p>
        </w:tc>
      </w:tr>
      <w:tr>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754"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其他支出</w:t>
            </w: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p>
        </w:tc>
        <w:tc>
          <w:tcPr>
            <w:tcW w:w="1173"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131.80</w:t>
            </w:r>
          </w:p>
        </w:tc>
        <w:tc>
          <w:tcPr>
            <w:tcW w:w="1209"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0%　</w:t>
            </w:r>
          </w:p>
        </w:tc>
        <w:tc>
          <w:tcPr>
            <w:tcW w:w="2331" w:type="dxa"/>
            <w:tcBorders>
              <w:top w:val="single" w:color="B1B1B1" w:sz="6" w:space="0"/>
              <w:left w:val="single" w:color="B1B1B1" w:sz="6" w:space="0"/>
              <w:bottom w:val="single" w:color="E1E1E1" w:sz="6" w:space="0"/>
              <w:right w:val="single" w:color="E1E1E1" w:sz="6" w:space="0"/>
            </w:tcBorders>
            <w:shd w:val="clear" w:color="auto" w:fill="FFFFFF"/>
            <w:tcMar>
              <w:left w:w="15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0"/>
              <w:rPr>
                <w:sz w:val="18"/>
                <w:szCs w:val="18"/>
              </w:rPr>
            </w:pPr>
            <w:r>
              <w:rPr>
                <w:rFonts w:hint="eastAsia" w:ascii="微软雅黑" w:hAnsi="微软雅黑" w:eastAsia="微软雅黑" w:cs="微软雅黑"/>
                <w:i w:val="0"/>
                <w:iCs w:val="0"/>
                <w:caps w:val="0"/>
                <w:color w:val="333333"/>
                <w:spacing w:val="0"/>
                <w:sz w:val="18"/>
                <w:szCs w:val="18"/>
              </w:rPr>
              <w:t>暂无投入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2020年支出按政府预算支出经济分类一般公共预算支出6467.86万元，其中：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机关工资福利支出721.21万元，较上年减少195.05万元，原因是人员经费减少；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机关商品和服务支出5203.45万元，较上年增加838.32万元，原因是专项业务经费增加；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对个人和家庭的补助支出543.20万元，较上年减少310.82万元，原因是规范了补助项目；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2020年无其他资本性支出及其他支出投入。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5、本部门无2019年结转财政资金一般公共预算拨款支出情况。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（四）政府性基金预算支出情况。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本部门无当年政府性基金预算收支，并已公开空表。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本部门无2019年结转的政府性基金预算拨款支出。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（五）国有资本经营预算拨款收支情况。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本部门无当年国有资本经营预算拨款收支，并在财政拨款收支总体情况表中列示。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本部门无2019年结转的国有资本经营预算拨款支出。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2700" w:firstLineChars="1000"/>
        <w:rPr>
          <w:rFonts w:hint="eastAsia" w:ascii="微软雅黑" w:hAnsi="微软雅黑" w:eastAsia="微软雅黑" w:cs="微软雅黑"/>
          <w:i w:val="0"/>
          <w:iCs w:val="0"/>
          <w:caps w:val="0"/>
          <w:color w:val="333333"/>
          <w:spacing w:val="0"/>
          <w:sz w:val="27"/>
          <w:szCs w:val="27"/>
        </w:rPr>
      </w:pPr>
      <w:bookmarkStart w:id="0" w:name="_GoBack"/>
      <w:bookmarkEnd w:id="0"/>
      <w:r>
        <w:rPr>
          <w:rFonts w:hint="eastAsia" w:ascii="微软雅黑" w:hAnsi="微软雅黑" w:eastAsia="微软雅黑" w:cs="微软雅黑"/>
          <w:i w:val="0"/>
          <w:iCs w:val="0"/>
          <w:caps w:val="0"/>
          <w:color w:val="333333"/>
          <w:spacing w:val="0"/>
          <w:sz w:val="27"/>
          <w:szCs w:val="27"/>
          <w:shd w:val="clear" w:fill="FFFFFF"/>
        </w:rPr>
        <w:t>第三部分 其他说明情况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六、部门预算“三公”经费等预算情况说明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2020年本部门一般公共预算“三公”经费预算支出10.77万元，较上年减少0.47万元。其中：因公出国（境）经费0万元，较上年增加（减少）0万元；公务接待费1.02万元，较上年减少0.12万元；公务用车运行维护费4.75万元，较上年减少0.25万元；公务用车购置费0万元，较上年增加（减少）0万元；培训费</w:t>
      </w:r>
      <w:r>
        <w:rPr>
          <w:rFonts w:hint="eastAsia" w:ascii="微软雅黑" w:hAnsi="微软雅黑" w:eastAsia="微软雅黑" w:cs="微软雅黑"/>
          <w:i w:val="0"/>
          <w:iCs w:val="0"/>
          <w:caps w:val="0"/>
          <w:color w:val="333333"/>
          <w:spacing w:val="0"/>
          <w:sz w:val="27"/>
          <w:szCs w:val="27"/>
          <w:shd w:val="clear" w:fill="FFFFFF"/>
          <w:lang w:val="en-US" w:eastAsia="zh-CN"/>
        </w:rPr>
        <w:t>支出</w:t>
      </w:r>
      <w:r>
        <w:rPr>
          <w:rFonts w:hint="eastAsia" w:ascii="微软雅黑" w:hAnsi="微软雅黑" w:eastAsia="微软雅黑" w:cs="微软雅黑"/>
          <w:i w:val="0"/>
          <w:iCs w:val="0"/>
          <w:caps w:val="0"/>
          <w:color w:val="333333"/>
          <w:spacing w:val="0"/>
          <w:sz w:val="27"/>
          <w:szCs w:val="27"/>
          <w:shd w:val="clear" w:fill="FFFFFF"/>
        </w:rPr>
        <w:t>5万元，较上年减少0.1万元</w:t>
      </w:r>
      <w:r>
        <w:rPr>
          <w:rFonts w:hint="eastAsia" w:ascii="微软雅黑" w:hAnsi="微软雅黑" w:eastAsia="微软雅黑" w:cs="微软雅黑"/>
          <w:i w:val="0"/>
          <w:iCs w:val="0"/>
          <w:caps w:val="0"/>
          <w:color w:val="333333"/>
          <w:spacing w:val="0"/>
          <w:sz w:val="27"/>
          <w:szCs w:val="27"/>
          <w:shd w:val="clear" w:fill="FFFFFF"/>
          <w:lang w:eastAsia="zh-CN"/>
        </w:rPr>
        <w:t>，</w:t>
      </w:r>
      <w:r>
        <w:rPr>
          <w:rFonts w:hint="eastAsia" w:ascii="微软雅黑" w:hAnsi="微软雅黑" w:eastAsia="微软雅黑" w:cs="微软雅黑"/>
          <w:i w:val="0"/>
          <w:iCs w:val="0"/>
          <w:caps w:val="0"/>
          <w:color w:val="333333"/>
          <w:spacing w:val="0"/>
          <w:sz w:val="27"/>
          <w:szCs w:val="27"/>
          <w:shd w:val="clear" w:fill="FFFFFF"/>
          <w:lang w:val="en-US" w:eastAsia="zh-CN"/>
        </w:rPr>
        <w:t>原因是经费缩减</w:t>
      </w:r>
      <w:r>
        <w:rPr>
          <w:rFonts w:hint="eastAsia" w:ascii="微软雅黑" w:hAnsi="微软雅黑" w:eastAsia="微软雅黑" w:cs="微软雅黑"/>
          <w:i w:val="0"/>
          <w:iCs w:val="0"/>
          <w:caps w:val="0"/>
          <w:color w:val="333333"/>
          <w:spacing w:val="0"/>
          <w:sz w:val="27"/>
          <w:szCs w:val="27"/>
          <w:shd w:val="clear" w:fill="FFFFFF"/>
          <w:lang w:eastAsia="zh-CN"/>
        </w:rPr>
        <w:t>；</w:t>
      </w:r>
      <w:r>
        <w:rPr>
          <w:rFonts w:hint="eastAsia" w:ascii="微软雅黑" w:hAnsi="微软雅黑" w:eastAsia="微软雅黑" w:cs="微软雅黑"/>
          <w:i w:val="0"/>
          <w:iCs w:val="0"/>
          <w:caps w:val="0"/>
          <w:color w:val="333333"/>
          <w:spacing w:val="0"/>
          <w:sz w:val="27"/>
          <w:szCs w:val="27"/>
          <w:shd w:val="clear" w:fill="FFFFFF"/>
        </w:rPr>
        <w:t>本部门无2020年无会议费预算安排。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本部门无2019年结转的财政拨款“三公经费”支出。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七、部门国有资产占有使用及资产购置情况说明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截止2019年底，本部门所属预算单位共有车辆33辆，其中：财政负担车辆2辆，批准留用车3辆，执法执勤用车11辆，特种专业技术用车4辆，其他用车13辆（村用柴油三轮垃圾车12辆、损坏无法使用1辆），单价20万元以上的设备0台（套）；2020年部门预算未安排购置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本部门无2020年预算安排及2019年结转的财政拨款支出资产购置。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八、部门政府采购情况说明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2020年本部门政府采购预算共1160.56万元，其中政府采购货物类预算313.91万元、政府采购服务类预算146.65万元、政府采购工程类预算700万元。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本部门无2019年结转的政府采购资金支出。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九、部门预算绩效目标说明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2020年本部门实现了绩效目标管理全覆盖，涉及一般公共预算当年拨款6467.86万元,上级补助拨款343.22万元，政府性基金预算当年拨款0万元。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本部门无2019年结转的财政拨款支出涉及的绩效目标管理。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十、机关运行经费安排说明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2020年本部门机关运行经费预算安排387.89万元，较上年减少37.21万元，主要原因是在保运转的前提下，压缩一切非生产支出。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本部门无2019年结转的财政拨款机关运行经费支出。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十一、专业名词解释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（一）一般公共预算。一般公共预算是对以税收为主体的财政收入，安排用于保障和改善民生、推动经济社会发展、维护国家安全、维持国家机构正常运转等方面的收支预算。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政府性基金预算。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（三）政府采购。指各级国家机关、事业单位和团体组织，使用财政性资金采购依法制定的集中采购目录以内或采购限额标准以上的货物、工程和服务的行为。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政府购买服务。指通过发挥市场机制作用，把政府直接提供的一部分公共服务事项以及政府履职所需服务事项，按照一定的方式和程序，交由具备条件的社会力量承担，并由政府根据合同约定向其支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1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（五）“三公”经费。指因公出国（境）费、公务用车购置及运行维护费和公务接待费。</w:t>
      </w:r>
    </w:p>
    <w:p>
      <w:pPr>
        <w:ind w:firstLine="1080" w:firstLineChars="300"/>
        <w:rPr>
          <w:rFonts w:hint="eastAsia" w:ascii="仿宋" w:hAnsi="仿宋" w:eastAsia="仿宋" w:cs="仿宋"/>
          <w:sz w:val="36"/>
          <w:szCs w:val="36"/>
          <w:lang w:val="en-US" w:eastAsia="zh-CN"/>
        </w:rPr>
      </w:pPr>
    </w:p>
    <w:p>
      <w:pPr>
        <w:ind w:firstLine="5100" w:firstLineChars="1700"/>
        <w:rPr>
          <w:rFonts w:hint="default"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8C24F"/>
    <w:multiLevelType w:val="singleLevel"/>
    <w:tmpl w:val="F1D8C24F"/>
    <w:lvl w:ilvl="0" w:tentative="0">
      <w:start w:val="2"/>
      <w:numFmt w:val="decimal"/>
      <w:lvlText w:val="%1."/>
      <w:lvlJc w:val="left"/>
      <w:pPr>
        <w:tabs>
          <w:tab w:val="left" w:pos="312"/>
        </w:tabs>
      </w:pPr>
    </w:lvl>
  </w:abstractNum>
  <w:abstractNum w:abstractNumId="1">
    <w:nsid w:val="2E0AA8E8"/>
    <w:multiLevelType w:val="singleLevel"/>
    <w:tmpl w:val="2E0AA8E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A5834"/>
    <w:rsid w:val="17AE1B77"/>
    <w:rsid w:val="409A4797"/>
    <w:rsid w:val="43BA60AA"/>
    <w:rsid w:val="537B23F4"/>
    <w:rsid w:val="5BB70705"/>
    <w:rsid w:val="67316029"/>
    <w:rsid w:val="7B6A5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2021-02-04T03:27:00Z</dcterms:created>
  <dc:creator>蒋媛</dc:creator>
  <cp:lastModifiedBy>蒋媛</cp:lastModifiedBy>
  <cp:lastPrinted>2021-02-04T03:36:00Z</cp:lastPrinted>
  <dcterms:modified xsi:type="dcterms:W3CDTF">2021-05-28T04:46:05Z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C23F9D1E737D46FEB10EE05028BFCA1D</vt:lpwstr>
  </property>
</Properties>
</file>